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6E4B" w:rsidP="4EDBFB39" w:rsidRDefault="00D66E4B" w14:paraId="6283B90B" w14:textId="7DC8355E">
      <w:pPr>
        <w:tabs>
          <w:tab w:val="left" w:pos="1440"/>
        </w:tabs>
        <w:ind w:left="1440" w:hanging="1440"/>
        <w:rPr>
          <w:b w:val="1"/>
          <w:bCs w:val="1"/>
          <w:sz w:val="24"/>
          <w:szCs w:val="24"/>
          <w:highlight w:val="yellow"/>
        </w:rPr>
      </w:pPr>
    </w:p>
    <w:p w:rsidRPr="00142AA4" w:rsidR="00723442" w:rsidP="00D66E4B" w:rsidRDefault="00723442" w14:paraId="37C4A9AA" w14:textId="77777777">
      <w:pPr>
        <w:tabs>
          <w:tab w:val="left" w:pos="1440"/>
        </w:tabs>
        <w:ind w:left="1440" w:hanging="1440"/>
        <w:rPr>
          <w:b/>
          <w:sz w:val="24"/>
          <w:szCs w:val="24"/>
          <w:highlight w:val="yellow"/>
        </w:rPr>
      </w:pPr>
    </w:p>
    <w:p w:rsidRPr="00142AA4" w:rsidR="00D66E4B" w:rsidP="00D66E4B" w:rsidRDefault="00D66E4B" w14:paraId="725EB6C8" w14:textId="77777777">
      <w:pPr>
        <w:pStyle w:val="Heading1"/>
        <w:jc w:val="center"/>
        <w:rPr>
          <w:rFonts w:ascii="Times New Roman" w:hAnsi="Times New Roman" w:cs="Times New Roman"/>
          <w:b/>
          <w:color w:val="000000"/>
          <w:sz w:val="24"/>
          <w:szCs w:val="24"/>
        </w:rPr>
      </w:pPr>
      <w:r w:rsidRPr="00142AA4">
        <w:rPr>
          <w:rFonts w:ascii="Times New Roman" w:hAnsi="Times New Roman" w:cs="Times New Roman"/>
          <w:b/>
          <w:color w:val="000000"/>
          <w:sz w:val="24"/>
          <w:szCs w:val="24"/>
        </w:rPr>
        <w:t>U.S. Department of Labor</w:t>
      </w:r>
    </w:p>
    <w:p w:rsidRPr="00142AA4" w:rsidR="00D66E4B" w:rsidP="00D66E4B" w:rsidRDefault="00D66E4B" w14:paraId="3697040D" w14:textId="77777777">
      <w:pPr>
        <w:jc w:val="center"/>
        <w:rPr>
          <w:b/>
          <w:sz w:val="24"/>
          <w:szCs w:val="24"/>
        </w:rPr>
      </w:pPr>
      <w:r w:rsidRPr="00142AA4">
        <w:rPr>
          <w:b/>
          <w:sz w:val="24"/>
          <w:szCs w:val="24"/>
        </w:rPr>
        <w:t>Office of Federal Contract Compliance Programs</w:t>
      </w:r>
    </w:p>
    <w:p w:rsidRPr="00720EE4" w:rsidR="00D66E4B" w:rsidP="00D66E4B" w:rsidRDefault="00D66E4B" w14:paraId="5A83480E" w14:textId="77777777">
      <w:pPr>
        <w:jc w:val="center"/>
        <w:rPr>
          <w:b/>
          <w:sz w:val="24"/>
          <w:szCs w:val="24"/>
        </w:rPr>
      </w:pPr>
      <w:r w:rsidRPr="00142AA4">
        <w:rPr>
          <w:b/>
          <w:sz w:val="24"/>
          <w:szCs w:val="24"/>
        </w:rPr>
        <w:t>Affirmative Action</w:t>
      </w:r>
      <w:r w:rsidRPr="00142AA4" w:rsidR="003A4AF5">
        <w:rPr>
          <w:b/>
          <w:sz w:val="24"/>
          <w:szCs w:val="24"/>
        </w:rPr>
        <w:t xml:space="preserve"> </w:t>
      </w:r>
      <w:r w:rsidR="00ED2FCC">
        <w:rPr>
          <w:b/>
          <w:sz w:val="24"/>
          <w:szCs w:val="24"/>
        </w:rPr>
        <w:t xml:space="preserve">Program </w:t>
      </w:r>
      <w:r w:rsidRPr="00720EE4">
        <w:rPr>
          <w:b/>
          <w:sz w:val="24"/>
          <w:szCs w:val="24"/>
        </w:rPr>
        <w:t xml:space="preserve">Verification </w:t>
      </w:r>
      <w:r w:rsidR="00ED2FCC">
        <w:rPr>
          <w:b/>
          <w:sz w:val="24"/>
          <w:szCs w:val="24"/>
        </w:rPr>
        <w:t>Interface</w:t>
      </w:r>
    </w:p>
    <w:p w:rsidRPr="00720EE4" w:rsidR="00D66E4B" w:rsidP="00D66E4B" w:rsidRDefault="00D66E4B" w14:paraId="7970190C" w14:textId="77777777">
      <w:pPr>
        <w:jc w:val="center"/>
        <w:rPr>
          <w:b/>
          <w:sz w:val="24"/>
          <w:szCs w:val="24"/>
        </w:rPr>
      </w:pPr>
    </w:p>
    <w:p w:rsidRPr="00720EE4" w:rsidR="00D66E4B" w:rsidP="00D66E4B" w:rsidRDefault="00D66E4B" w14:paraId="5C7DEB00" w14:textId="52CC0E85">
      <w:pPr>
        <w:jc w:val="center"/>
        <w:rPr>
          <w:b/>
          <w:sz w:val="24"/>
          <w:szCs w:val="24"/>
        </w:rPr>
      </w:pPr>
      <w:r w:rsidRPr="00720EE4">
        <w:rPr>
          <w:b/>
          <w:sz w:val="24"/>
          <w:szCs w:val="24"/>
        </w:rPr>
        <w:t>OMB Control No. 1250</w:t>
      </w:r>
      <w:r w:rsidR="003D7B9E">
        <w:rPr>
          <w:b/>
          <w:sz w:val="24"/>
          <w:szCs w:val="24"/>
        </w:rPr>
        <w:t>-</w:t>
      </w:r>
      <w:r w:rsidR="006B5257">
        <w:rPr>
          <w:b/>
          <w:sz w:val="24"/>
          <w:szCs w:val="24"/>
        </w:rPr>
        <w:t>New</w:t>
      </w:r>
    </w:p>
    <w:p w:rsidRPr="00720EE4" w:rsidR="00D66E4B" w:rsidP="00D66E4B" w:rsidRDefault="00D66E4B" w14:paraId="65AD52C3" w14:textId="77777777">
      <w:pPr>
        <w:tabs>
          <w:tab w:val="left" w:pos="1440"/>
        </w:tabs>
        <w:rPr>
          <w:b/>
          <w:sz w:val="24"/>
          <w:szCs w:val="24"/>
          <w:highlight w:val="yellow"/>
        </w:rPr>
      </w:pPr>
    </w:p>
    <w:p w:rsidRPr="00720EE4" w:rsidR="00D66E4B" w:rsidP="00D66E4B" w:rsidRDefault="00D66E4B" w14:paraId="454CF508" w14:textId="77777777">
      <w:pPr>
        <w:tabs>
          <w:tab w:val="left" w:pos="1440"/>
        </w:tabs>
        <w:ind w:left="1440" w:hanging="1440"/>
        <w:rPr>
          <w:b/>
          <w:sz w:val="24"/>
          <w:szCs w:val="24"/>
          <w:highlight w:val="yellow"/>
        </w:rPr>
      </w:pPr>
    </w:p>
    <w:p w:rsidRPr="00720EE4" w:rsidR="00D66E4B" w:rsidP="00DF486B" w:rsidRDefault="00D66E4B" w14:paraId="346106DA" w14:textId="77777777">
      <w:pPr>
        <w:tabs>
          <w:tab w:val="left" w:pos="1440"/>
        </w:tabs>
        <w:rPr>
          <w:b/>
          <w:color w:val="FF0000"/>
          <w:sz w:val="24"/>
          <w:szCs w:val="24"/>
        </w:rPr>
      </w:pPr>
    </w:p>
    <w:p w:rsidRPr="00720EE4" w:rsidR="00D66E4B" w:rsidP="00D66E4B" w:rsidRDefault="00D66E4B" w14:paraId="0950B5F6" w14:textId="77777777">
      <w:pPr>
        <w:numPr>
          <w:ilvl w:val="0"/>
          <w:numId w:val="1"/>
        </w:numPr>
        <w:tabs>
          <w:tab w:val="left" w:pos="360"/>
        </w:tabs>
        <w:rPr>
          <w:b/>
          <w:sz w:val="24"/>
          <w:szCs w:val="24"/>
        </w:rPr>
      </w:pPr>
      <w:r w:rsidRPr="00720EE4">
        <w:rPr>
          <w:b/>
          <w:sz w:val="24"/>
          <w:szCs w:val="24"/>
        </w:rPr>
        <w:t>Justification</w:t>
      </w:r>
    </w:p>
    <w:p w:rsidRPr="00720EE4" w:rsidR="00D66E4B" w:rsidP="00D66E4B" w:rsidRDefault="00D66E4B" w14:paraId="78614CE5" w14:textId="77777777">
      <w:pPr>
        <w:rPr>
          <w:b/>
          <w:sz w:val="24"/>
          <w:szCs w:val="24"/>
        </w:rPr>
      </w:pPr>
    </w:p>
    <w:p w:rsidRPr="00720EE4" w:rsidR="004364EF" w:rsidP="004364EF" w:rsidRDefault="00D66E4B" w14:paraId="47CFE5AD" w14:textId="23E04AF8">
      <w:pPr>
        <w:rPr>
          <w:sz w:val="24"/>
          <w:szCs w:val="24"/>
        </w:rPr>
      </w:pPr>
      <w:r w:rsidRPr="00720EE4">
        <w:rPr>
          <w:sz w:val="24"/>
          <w:szCs w:val="24"/>
        </w:rPr>
        <w:t>The U.S. Department of Labor’s (DOL) Office of Federal Contract Compliance Programs (OFCCP) is requesting Office of Management and Budget (OMB) approval of a new information collection</w:t>
      </w:r>
      <w:r w:rsidRPr="00720EE4" w:rsidR="00B55102">
        <w:rPr>
          <w:sz w:val="24"/>
          <w:szCs w:val="24"/>
        </w:rPr>
        <w:t xml:space="preserve"> request (ICR)</w:t>
      </w:r>
      <w:r w:rsidRPr="00720EE4">
        <w:rPr>
          <w:sz w:val="24"/>
          <w:szCs w:val="24"/>
        </w:rPr>
        <w:t>.  Following approval of this request,</w:t>
      </w:r>
      <w:r w:rsidRPr="00720EE4" w:rsidR="00270DE5">
        <w:rPr>
          <w:sz w:val="24"/>
          <w:szCs w:val="24"/>
        </w:rPr>
        <w:t xml:space="preserve"> OFCCP </w:t>
      </w:r>
      <w:r w:rsidRPr="00720EE4" w:rsidR="004364EF">
        <w:rPr>
          <w:sz w:val="24"/>
          <w:szCs w:val="24"/>
        </w:rPr>
        <w:t xml:space="preserve">will </w:t>
      </w:r>
      <w:r w:rsidRPr="00720EE4" w:rsidR="000354C4">
        <w:rPr>
          <w:sz w:val="24"/>
          <w:szCs w:val="24"/>
        </w:rPr>
        <w:t xml:space="preserve">execute the Government Accountability Office (GAO) 2016 </w:t>
      </w:r>
      <w:r w:rsidRPr="00720EE4" w:rsidR="000354C4">
        <w:rPr>
          <w:i/>
          <w:sz w:val="24"/>
          <w:szCs w:val="24"/>
        </w:rPr>
        <w:t>Equal Employment Opportunity: Strengthening Oversight Could Improve Federal Contractor Nondiscrimination Compliance</w:t>
      </w:r>
      <w:r w:rsidRPr="00720EE4" w:rsidR="000354C4">
        <w:rPr>
          <w:sz w:val="24"/>
          <w:szCs w:val="24"/>
        </w:rPr>
        <w:t xml:space="preserve"> report’s recommendation to </w:t>
      </w:r>
      <w:r w:rsidRPr="00720EE4" w:rsidR="004364EF">
        <w:rPr>
          <w:sz w:val="24"/>
          <w:szCs w:val="24"/>
        </w:rPr>
        <w:t>collect</w:t>
      </w:r>
      <w:r w:rsidRPr="00720EE4" w:rsidR="000354C4">
        <w:rPr>
          <w:sz w:val="24"/>
          <w:szCs w:val="24"/>
        </w:rPr>
        <w:t xml:space="preserve"> and monitor</w:t>
      </w:r>
      <w:r w:rsidRPr="00720EE4" w:rsidR="00F8371C">
        <w:rPr>
          <w:sz w:val="24"/>
          <w:szCs w:val="24"/>
        </w:rPr>
        <w:t xml:space="preserve"> Affirmative Action Programs (AAP) from covered</w:t>
      </w:r>
      <w:r w:rsidRPr="00720EE4" w:rsidR="00F8371C">
        <w:rPr>
          <w:rFonts w:eastAsia="Calibri"/>
          <w:color w:val="000000"/>
          <w:sz w:val="24"/>
          <w:szCs w:val="22"/>
          <w:vertAlign w:val="superscript"/>
        </w:rPr>
        <w:footnoteReference w:id="2"/>
      </w:r>
      <w:r w:rsidRPr="00720EE4" w:rsidR="00F8371C">
        <w:rPr>
          <w:sz w:val="24"/>
          <w:szCs w:val="24"/>
        </w:rPr>
        <w:t xml:space="preserve"> </w:t>
      </w:r>
      <w:r w:rsidRPr="00720EE4" w:rsidR="0046520D">
        <w:rPr>
          <w:sz w:val="24"/>
          <w:szCs w:val="24"/>
        </w:rPr>
        <w:t>federal contractors and subcontractors</w:t>
      </w:r>
      <w:r w:rsidRPr="00720EE4" w:rsidR="0046520D">
        <w:rPr>
          <w:rStyle w:val="FootnoteReference"/>
          <w:sz w:val="24"/>
          <w:szCs w:val="24"/>
        </w:rPr>
        <w:footnoteReference w:id="3"/>
      </w:r>
      <w:r w:rsidRPr="00720EE4" w:rsidR="00DE77DA">
        <w:rPr>
          <w:sz w:val="24"/>
          <w:szCs w:val="24"/>
        </w:rPr>
        <w:t xml:space="preserve"> </w:t>
      </w:r>
      <w:r w:rsidRPr="00720EE4" w:rsidR="00F8371C">
        <w:rPr>
          <w:sz w:val="24"/>
          <w:szCs w:val="24"/>
        </w:rPr>
        <w:t xml:space="preserve">on </w:t>
      </w:r>
      <w:r w:rsidR="009B3799">
        <w:rPr>
          <w:sz w:val="24"/>
          <w:szCs w:val="24"/>
        </w:rPr>
        <w:t>a regular</w:t>
      </w:r>
      <w:r w:rsidRPr="00720EE4" w:rsidR="00F8371C">
        <w:rPr>
          <w:sz w:val="24"/>
          <w:szCs w:val="24"/>
        </w:rPr>
        <w:t xml:space="preserve"> basis</w:t>
      </w:r>
      <w:r w:rsidRPr="00720EE4" w:rsidR="003E50B1">
        <w:rPr>
          <w:sz w:val="24"/>
          <w:szCs w:val="24"/>
        </w:rPr>
        <w:t>.  This will be done</w:t>
      </w:r>
      <w:r w:rsidRPr="00720EE4" w:rsidR="004364EF">
        <w:rPr>
          <w:sz w:val="24"/>
          <w:szCs w:val="24"/>
        </w:rPr>
        <w:t xml:space="preserve"> through a new online platform </w:t>
      </w:r>
      <w:r w:rsidRPr="00720EE4" w:rsidR="00A82C40">
        <w:rPr>
          <w:sz w:val="24"/>
          <w:szCs w:val="24"/>
        </w:rPr>
        <w:t>referred to as</w:t>
      </w:r>
      <w:r w:rsidRPr="00720EE4" w:rsidR="003A4AF5">
        <w:rPr>
          <w:sz w:val="24"/>
          <w:szCs w:val="24"/>
        </w:rPr>
        <w:t xml:space="preserve"> the</w:t>
      </w:r>
      <w:r w:rsidRPr="00720EE4" w:rsidR="00A82C40">
        <w:rPr>
          <w:sz w:val="24"/>
          <w:szCs w:val="24"/>
        </w:rPr>
        <w:t xml:space="preserve"> </w:t>
      </w:r>
      <w:r w:rsidR="00885C18">
        <w:rPr>
          <w:sz w:val="24"/>
          <w:szCs w:val="24"/>
        </w:rPr>
        <w:t>Affirmative Action</w:t>
      </w:r>
      <w:r w:rsidRPr="00720EE4" w:rsidR="00885C18">
        <w:rPr>
          <w:sz w:val="24"/>
          <w:szCs w:val="24"/>
        </w:rPr>
        <w:t xml:space="preserve"> </w:t>
      </w:r>
      <w:r w:rsidR="00ED2FCC">
        <w:rPr>
          <w:sz w:val="24"/>
          <w:szCs w:val="24"/>
        </w:rPr>
        <w:t xml:space="preserve">Program </w:t>
      </w:r>
      <w:r w:rsidRPr="00720EE4" w:rsidR="004364EF">
        <w:rPr>
          <w:sz w:val="24"/>
          <w:szCs w:val="24"/>
        </w:rPr>
        <w:t xml:space="preserve">Verification </w:t>
      </w:r>
      <w:r w:rsidR="00ED2FCC">
        <w:rPr>
          <w:sz w:val="24"/>
          <w:szCs w:val="24"/>
        </w:rPr>
        <w:t>Interface</w:t>
      </w:r>
      <w:r w:rsidRPr="00720EE4" w:rsidR="004364EF">
        <w:rPr>
          <w:sz w:val="24"/>
          <w:szCs w:val="24"/>
        </w:rPr>
        <w:t xml:space="preserve"> (AA</w:t>
      </w:r>
      <w:r w:rsidR="00ED2FCC">
        <w:rPr>
          <w:sz w:val="24"/>
          <w:szCs w:val="24"/>
        </w:rPr>
        <w:t>P-</w:t>
      </w:r>
      <w:r w:rsidRPr="00720EE4" w:rsidR="004364EF">
        <w:rPr>
          <w:sz w:val="24"/>
          <w:szCs w:val="24"/>
        </w:rPr>
        <w:t>VI)</w:t>
      </w:r>
      <w:r w:rsidRPr="00720EE4" w:rsidR="00F8371C">
        <w:rPr>
          <w:sz w:val="24"/>
          <w:szCs w:val="24"/>
        </w:rPr>
        <w:t>.</w:t>
      </w:r>
      <w:r w:rsidRPr="00720EE4" w:rsidR="004364EF">
        <w:rPr>
          <w:sz w:val="24"/>
          <w:szCs w:val="24"/>
        </w:rPr>
        <w:t xml:space="preserve"> </w:t>
      </w:r>
    </w:p>
    <w:p w:rsidRPr="00720EE4" w:rsidR="004364EF" w:rsidP="004364EF" w:rsidRDefault="004364EF" w14:paraId="0DAAFAB0" w14:textId="77777777">
      <w:pPr>
        <w:rPr>
          <w:sz w:val="24"/>
          <w:szCs w:val="24"/>
        </w:rPr>
      </w:pPr>
    </w:p>
    <w:p w:rsidRPr="00720EE4" w:rsidR="00757FBC" w:rsidP="00D66E4B" w:rsidRDefault="003F58D1" w14:paraId="735FE76F" w14:textId="59C9B1E8">
      <w:pPr>
        <w:rPr>
          <w:sz w:val="24"/>
          <w:szCs w:val="24"/>
        </w:rPr>
      </w:pPr>
      <w:r w:rsidRPr="00720EE4">
        <w:rPr>
          <w:sz w:val="24"/>
          <w:szCs w:val="24"/>
        </w:rPr>
        <w:t>Contractors within OFCCP</w:t>
      </w:r>
      <w:r w:rsidRPr="00720EE4" w:rsidR="00BF2C09">
        <w:rPr>
          <w:sz w:val="24"/>
          <w:szCs w:val="24"/>
        </w:rPr>
        <w:t>’s</w:t>
      </w:r>
      <w:r w:rsidRPr="00720EE4">
        <w:rPr>
          <w:sz w:val="24"/>
          <w:szCs w:val="24"/>
        </w:rPr>
        <w:t xml:space="preserve"> jurisdiction </w:t>
      </w:r>
      <w:r w:rsidRPr="00720EE4" w:rsidR="001238E6">
        <w:rPr>
          <w:sz w:val="24"/>
          <w:szCs w:val="24"/>
        </w:rPr>
        <w:t xml:space="preserve">that meet certain contract dollar and employee thresholds </w:t>
      </w:r>
      <w:r w:rsidRPr="00720EE4">
        <w:rPr>
          <w:sz w:val="24"/>
          <w:szCs w:val="24"/>
        </w:rPr>
        <w:t xml:space="preserve">have an obligation to </w:t>
      </w:r>
      <w:r w:rsidRPr="00720EE4" w:rsidR="00BB5ADD">
        <w:rPr>
          <w:sz w:val="24"/>
          <w:szCs w:val="24"/>
        </w:rPr>
        <w:t>develop and maintain</w:t>
      </w:r>
      <w:r w:rsidRPr="00720EE4" w:rsidR="00236AFF">
        <w:rPr>
          <w:sz w:val="24"/>
          <w:szCs w:val="24"/>
        </w:rPr>
        <w:t xml:space="preserve"> </w:t>
      </w:r>
      <w:r w:rsidRPr="00720EE4">
        <w:rPr>
          <w:sz w:val="24"/>
          <w:szCs w:val="24"/>
        </w:rPr>
        <w:t xml:space="preserve">AAPs. </w:t>
      </w:r>
      <w:r w:rsidRPr="00720EE4" w:rsidR="00EE3081">
        <w:rPr>
          <w:sz w:val="24"/>
          <w:szCs w:val="24"/>
        </w:rPr>
        <w:t xml:space="preserve"> </w:t>
      </w:r>
      <w:r w:rsidRPr="00720EE4" w:rsidR="007E3F6C">
        <w:rPr>
          <w:sz w:val="24"/>
          <w:szCs w:val="24"/>
        </w:rPr>
        <w:t>However, OFCCP does not have a method to regularly collect the AAPs that these contractors are required to develop and maintain</w:t>
      </w:r>
      <w:r w:rsidRPr="00720EE4" w:rsidR="004364EF">
        <w:rPr>
          <w:sz w:val="24"/>
          <w:szCs w:val="24"/>
        </w:rPr>
        <w:t xml:space="preserve"> outside of compliance evaluations and complaint investigations. </w:t>
      </w:r>
      <w:r w:rsidRPr="00720EE4" w:rsidR="007D7517">
        <w:rPr>
          <w:sz w:val="24"/>
          <w:szCs w:val="24"/>
        </w:rPr>
        <w:t xml:space="preserve"> </w:t>
      </w:r>
      <w:r w:rsidRPr="00720EE4" w:rsidR="000354C4">
        <w:rPr>
          <w:sz w:val="24"/>
          <w:szCs w:val="24"/>
        </w:rPr>
        <w:t xml:space="preserve">According to the 2016 GAO report, </w:t>
      </w:r>
      <w:r w:rsidRPr="00720EE4" w:rsidR="004364EF">
        <w:rPr>
          <w:sz w:val="24"/>
          <w:szCs w:val="24"/>
        </w:rPr>
        <w:t xml:space="preserve">OFCCP </w:t>
      </w:r>
      <w:r w:rsidRPr="00720EE4" w:rsidR="00F8371C">
        <w:rPr>
          <w:sz w:val="24"/>
          <w:szCs w:val="24"/>
        </w:rPr>
        <w:t xml:space="preserve">historically </w:t>
      </w:r>
      <w:r w:rsidRPr="00720EE4" w:rsidR="000354C4">
        <w:rPr>
          <w:sz w:val="24"/>
          <w:szCs w:val="24"/>
        </w:rPr>
        <w:t>“conducts evaluations for about 2 percent of federal contractor establishments annually”</w:t>
      </w:r>
      <w:r w:rsidRPr="00720EE4" w:rsidR="002863E5">
        <w:rPr>
          <w:sz w:val="24"/>
          <w:szCs w:val="24"/>
        </w:rPr>
        <w:t xml:space="preserve"> </w:t>
      </w:r>
      <w:r w:rsidRPr="00720EE4" w:rsidR="004364EF">
        <w:rPr>
          <w:sz w:val="24"/>
          <w:szCs w:val="24"/>
        </w:rPr>
        <w:t>through its compliance evaluations and complaint investigations.</w:t>
      </w:r>
      <w:r w:rsidRPr="00720EE4" w:rsidR="007A7A3D">
        <w:rPr>
          <w:rStyle w:val="FootnoteReference"/>
          <w:sz w:val="24"/>
          <w:szCs w:val="24"/>
        </w:rPr>
        <w:footnoteReference w:id="4"/>
      </w:r>
      <w:r w:rsidRPr="00720EE4" w:rsidR="000354C4">
        <w:rPr>
          <w:sz w:val="24"/>
          <w:szCs w:val="24"/>
        </w:rPr>
        <w:t xml:space="preserve"> </w:t>
      </w:r>
      <w:r w:rsidRPr="00720EE4" w:rsidR="002863E5">
        <w:rPr>
          <w:sz w:val="24"/>
          <w:szCs w:val="24"/>
        </w:rPr>
        <w:t xml:space="preserve"> </w:t>
      </w:r>
    </w:p>
    <w:p w:rsidRPr="00720EE4" w:rsidR="00757FBC" w:rsidP="00D66E4B" w:rsidRDefault="00757FBC" w14:paraId="413E81B0" w14:textId="77777777">
      <w:pPr>
        <w:rPr>
          <w:sz w:val="24"/>
          <w:szCs w:val="24"/>
        </w:rPr>
      </w:pPr>
    </w:p>
    <w:p w:rsidRPr="00720EE4" w:rsidR="00C147EB" w:rsidP="00D66E4B" w:rsidRDefault="00AC3BDE" w14:paraId="16021A3A" w14:textId="1ED2192B">
      <w:pPr>
        <w:rPr>
          <w:sz w:val="24"/>
          <w:szCs w:val="24"/>
        </w:rPr>
      </w:pPr>
      <w:r w:rsidRPr="00720EE4">
        <w:rPr>
          <w:sz w:val="24"/>
          <w:szCs w:val="24"/>
        </w:rPr>
        <w:t>To address this</w:t>
      </w:r>
      <w:r w:rsidRPr="00720EE4" w:rsidR="007E3F6C">
        <w:rPr>
          <w:sz w:val="24"/>
          <w:szCs w:val="24"/>
        </w:rPr>
        <w:t xml:space="preserve"> low percentage</w:t>
      </w:r>
      <w:r w:rsidRPr="00720EE4">
        <w:rPr>
          <w:sz w:val="24"/>
          <w:szCs w:val="24"/>
        </w:rPr>
        <w:t>, the 2016 GAO report</w:t>
      </w:r>
      <w:r w:rsidRPr="00720EE4" w:rsidR="001927EB">
        <w:rPr>
          <w:sz w:val="24"/>
          <w:szCs w:val="24"/>
        </w:rPr>
        <w:t xml:space="preserve"> recommended OFCCP “develop a mechanism to monitor AAPs from covered federal contractors on a regular basis.  Such a mechanism could include electronically collecting AAP</w:t>
      </w:r>
      <w:r w:rsidRPr="00720EE4" w:rsidR="00F61578">
        <w:rPr>
          <w:sz w:val="24"/>
          <w:szCs w:val="24"/>
        </w:rPr>
        <w:t>s</w:t>
      </w:r>
      <w:r w:rsidRPr="00720EE4" w:rsidR="001927EB">
        <w:rPr>
          <w:sz w:val="24"/>
          <w:szCs w:val="24"/>
        </w:rPr>
        <w:t xml:space="preserve"> and contractor certification of annual updates.”</w:t>
      </w:r>
      <w:r w:rsidR="007A7A3D">
        <w:rPr>
          <w:rStyle w:val="FootnoteReference"/>
          <w:sz w:val="24"/>
          <w:szCs w:val="24"/>
        </w:rPr>
        <w:footnoteReference w:id="5"/>
      </w:r>
      <w:r w:rsidRPr="00720EE4" w:rsidR="001927EB">
        <w:rPr>
          <w:sz w:val="24"/>
          <w:szCs w:val="24"/>
        </w:rPr>
        <w:t xml:space="preserve"> </w:t>
      </w:r>
      <w:r w:rsidRPr="00720EE4" w:rsidR="00EE3081">
        <w:rPr>
          <w:sz w:val="24"/>
          <w:szCs w:val="24"/>
        </w:rPr>
        <w:t xml:space="preserve"> </w:t>
      </w:r>
      <w:r w:rsidRPr="00720EE4" w:rsidR="004364EF">
        <w:rPr>
          <w:sz w:val="24"/>
          <w:szCs w:val="24"/>
        </w:rPr>
        <w:t>In response to</w:t>
      </w:r>
      <w:r w:rsidRPr="00720EE4" w:rsidR="001927EB">
        <w:rPr>
          <w:sz w:val="24"/>
          <w:szCs w:val="24"/>
        </w:rPr>
        <w:t xml:space="preserve"> </w:t>
      </w:r>
      <w:r w:rsidRPr="00720EE4" w:rsidR="00083B33">
        <w:rPr>
          <w:sz w:val="24"/>
          <w:szCs w:val="24"/>
        </w:rPr>
        <w:t>the</w:t>
      </w:r>
      <w:r w:rsidRPr="00720EE4" w:rsidR="009D72FD">
        <w:rPr>
          <w:sz w:val="24"/>
          <w:szCs w:val="24"/>
        </w:rPr>
        <w:t xml:space="preserve"> 2016</w:t>
      </w:r>
      <w:r w:rsidRPr="00720EE4" w:rsidR="00083B33">
        <w:rPr>
          <w:sz w:val="24"/>
          <w:szCs w:val="24"/>
        </w:rPr>
        <w:t xml:space="preserve"> </w:t>
      </w:r>
      <w:r w:rsidRPr="00720EE4" w:rsidR="001927EB">
        <w:rPr>
          <w:sz w:val="24"/>
          <w:szCs w:val="24"/>
        </w:rPr>
        <w:t>GAO</w:t>
      </w:r>
      <w:r w:rsidRPr="00720EE4" w:rsidR="00083B33">
        <w:rPr>
          <w:sz w:val="24"/>
          <w:szCs w:val="24"/>
        </w:rPr>
        <w:t xml:space="preserve"> report’s</w:t>
      </w:r>
      <w:r w:rsidRPr="00720EE4" w:rsidR="001927EB">
        <w:rPr>
          <w:sz w:val="24"/>
          <w:szCs w:val="24"/>
        </w:rPr>
        <w:t xml:space="preserve"> open recommendation, OFCCP developed</w:t>
      </w:r>
      <w:r w:rsidRPr="00720EE4" w:rsidR="004364EF">
        <w:rPr>
          <w:sz w:val="24"/>
          <w:szCs w:val="24"/>
        </w:rPr>
        <w:t xml:space="preserve"> </w:t>
      </w:r>
      <w:r w:rsidR="00ED2FCC">
        <w:rPr>
          <w:sz w:val="24"/>
          <w:szCs w:val="24"/>
        </w:rPr>
        <w:t>AAP-VI</w:t>
      </w:r>
      <w:r w:rsidRPr="00720EE4" w:rsidR="007603C8">
        <w:rPr>
          <w:sz w:val="24"/>
          <w:szCs w:val="24"/>
        </w:rPr>
        <w:t>,</w:t>
      </w:r>
      <w:r w:rsidRPr="00720EE4" w:rsidR="00B76191">
        <w:rPr>
          <w:sz w:val="24"/>
          <w:szCs w:val="24"/>
        </w:rPr>
        <w:t xml:space="preserve"> </w:t>
      </w:r>
      <w:r w:rsidRPr="00720EE4" w:rsidR="001927EB">
        <w:rPr>
          <w:sz w:val="24"/>
          <w:szCs w:val="24"/>
        </w:rPr>
        <w:t xml:space="preserve">a </w:t>
      </w:r>
      <w:r w:rsidRPr="00720EE4" w:rsidR="004F5B32">
        <w:rPr>
          <w:sz w:val="24"/>
          <w:szCs w:val="24"/>
        </w:rPr>
        <w:t xml:space="preserve">data </w:t>
      </w:r>
      <w:r w:rsidRPr="00720EE4" w:rsidR="001927EB">
        <w:rPr>
          <w:sz w:val="24"/>
          <w:szCs w:val="24"/>
        </w:rPr>
        <w:t xml:space="preserve">management capability </w:t>
      </w:r>
      <w:r w:rsidRPr="00720EE4" w:rsidR="004F5B32">
        <w:rPr>
          <w:sz w:val="24"/>
          <w:szCs w:val="24"/>
        </w:rPr>
        <w:t xml:space="preserve">that also supports </w:t>
      </w:r>
      <w:r w:rsidRPr="008B7F6A" w:rsidR="004F5B32">
        <w:rPr>
          <w:sz w:val="24"/>
          <w:szCs w:val="24"/>
        </w:rPr>
        <w:t xml:space="preserve">the </w:t>
      </w:r>
      <w:r w:rsidRPr="008B7F6A" w:rsidR="008B7F6A">
        <w:rPr>
          <w:sz w:val="24"/>
          <w:szCs w:val="24"/>
        </w:rPr>
        <w:t>agency’s new compliance management system (CMS).</w:t>
      </w:r>
      <w:r w:rsidRPr="008B7F6A" w:rsidR="004F5B32">
        <w:rPr>
          <w:sz w:val="24"/>
          <w:szCs w:val="24"/>
        </w:rPr>
        <w:t xml:space="preserve">  </w:t>
      </w:r>
      <w:r w:rsidR="00A61725">
        <w:rPr>
          <w:sz w:val="24"/>
          <w:szCs w:val="24"/>
        </w:rPr>
        <w:t>OFCCP designed AAP-VI</w:t>
      </w:r>
      <w:r w:rsidRPr="00720EE4" w:rsidR="001927EB">
        <w:rPr>
          <w:sz w:val="24"/>
          <w:szCs w:val="24"/>
        </w:rPr>
        <w:t xml:space="preserve"> to increase </w:t>
      </w:r>
      <w:r w:rsidR="00F8404A">
        <w:rPr>
          <w:sz w:val="24"/>
          <w:szCs w:val="24"/>
        </w:rPr>
        <w:t xml:space="preserve">contractor </w:t>
      </w:r>
      <w:r w:rsidRPr="00720EE4" w:rsidR="001927EB">
        <w:rPr>
          <w:sz w:val="24"/>
          <w:szCs w:val="24"/>
        </w:rPr>
        <w:t xml:space="preserve">compliance by </w:t>
      </w:r>
      <w:r w:rsidRPr="00720EE4" w:rsidR="007E3F6C">
        <w:rPr>
          <w:sz w:val="24"/>
          <w:szCs w:val="24"/>
        </w:rPr>
        <w:t>creating an annual</w:t>
      </w:r>
      <w:r w:rsidRPr="00720EE4" w:rsidR="001927EB">
        <w:rPr>
          <w:sz w:val="24"/>
          <w:szCs w:val="24"/>
        </w:rPr>
        <w:t xml:space="preserve"> </w:t>
      </w:r>
      <w:r w:rsidR="00BB68B8">
        <w:rPr>
          <w:sz w:val="24"/>
          <w:szCs w:val="24"/>
        </w:rPr>
        <w:t xml:space="preserve">certification </w:t>
      </w:r>
      <w:r w:rsidRPr="00720EE4" w:rsidR="001927EB">
        <w:rPr>
          <w:sz w:val="24"/>
          <w:szCs w:val="24"/>
        </w:rPr>
        <w:t xml:space="preserve">process </w:t>
      </w:r>
      <w:r w:rsidR="00A61725">
        <w:rPr>
          <w:sz w:val="24"/>
          <w:szCs w:val="24"/>
        </w:rPr>
        <w:t xml:space="preserve">and to </w:t>
      </w:r>
      <w:r w:rsidRPr="00720EE4" w:rsidR="00A61725">
        <w:rPr>
          <w:sz w:val="24"/>
          <w:szCs w:val="24"/>
        </w:rPr>
        <w:t>optimiz</w:t>
      </w:r>
      <w:r w:rsidR="00A61725">
        <w:rPr>
          <w:sz w:val="24"/>
          <w:szCs w:val="24"/>
        </w:rPr>
        <w:t xml:space="preserve">e </w:t>
      </w:r>
      <w:r w:rsidRPr="00720EE4" w:rsidR="001927EB">
        <w:rPr>
          <w:sz w:val="24"/>
          <w:szCs w:val="24"/>
        </w:rPr>
        <w:t xml:space="preserve">the </w:t>
      </w:r>
      <w:r w:rsidRPr="00720EE4" w:rsidR="001927EB">
        <w:rPr>
          <w:sz w:val="24"/>
          <w:szCs w:val="24"/>
        </w:rPr>
        <w:lastRenderedPageBreak/>
        <w:t>compliance review process</w:t>
      </w:r>
      <w:r w:rsidR="00BB68B8">
        <w:rPr>
          <w:sz w:val="24"/>
          <w:szCs w:val="24"/>
        </w:rPr>
        <w:t xml:space="preserve"> by creating a tool for scheduled</w:t>
      </w:r>
      <w:r w:rsidR="00A61725">
        <w:rPr>
          <w:sz w:val="24"/>
          <w:szCs w:val="24"/>
        </w:rPr>
        <w:t xml:space="preserve"> contractor</w:t>
      </w:r>
      <w:r w:rsidR="00AE4537">
        <w:rPr>
          <w:sz w:val="24"/>
          <w:szCs w:val="24"/>
        </w:rPr>
        <w:t>s</w:t>
      </w:r>
      <w:r w:rsidR="00BB68B8">
        <w:rPr>
          <w:sz w:val="24"/>
          <w:szCs w:val="24"/>
        </w:rPr>
        <w:t xml:space="preserve"> to upload their AAPs</w:t>
      </w:r>
      <w:r w:rsidR="00A61725">
        <w:rPr>
          <w:sz w:val="24"/>
          <w:szCs w:val="24"/>
        </w:rPr>
        <w:t xml:space="preserve"> electronically for OFCCP</w:t>
      </w:r>
      <w:r w:rsidR="00F8404A">
        <w:rPr>
          <w:sz w:val="24"/>
          <w:szCs w:val="24"/>
        </w:rPr>
        <w:t>’s</w:t>
      </w:r>
      <w:r w:rsidR="00A61725">
        <w:rPr>
          <w:sz w:val="24"/>
          <w:szCs w:val="24"/>
        </w:rPr>
        <w:t xml:space="preserve"> review</w:t>
      </w:r>
      <w:r w:rsidRPr="00720EE4" w:rsidR="001927EB">
        <w:rPr>
          <w:sz w:val="24"/>
          <w:szCs w:val="24"/>
        </w:rPr>
        <w:t>.</w:t>
      </w:r>
      <w:r w:rsidR="00CF3A34">
        <w:rPr>
          <w:sz w:val="24"/>
          <w:szCs w:val="24"/>
        </w:rPr>
        <w:t xml:space="preserve">  </w:t>
      </w:r>
    </w:p>
    <w:p w:rsidR="002863E5" w:rsidP="00D66E4B" w:rsidRDefault="002863E5" w14:paraId="69B4DC03" w14:textId="09FD11DD">
      <w:pPr>
        <w:rPr>
          <w:sz w:val="24"/>
          <w:szCs w:val="24"/>
        </w:rPr>
      </w:pPr>
    </w:p>
    <w:p w:rsidR="00A61725" w:rsidP="00D66E4B" w:rsidRDefault="008B7F6A" w14:paraId="0DD4AAEC" w14:textId="66CE4A63">
      <w:pPr>
        <w:rPr>
          <w:sz w:val="24"/>
          <w:szCs w:val="24"/>
        </w:rPr>
      </w:pPr>
      <w:r w:rsidRPr="008B7F6A">
        <w:rPr>
          <w:sz w:val="24"/>
          <w:szCs w:val="24"/>
        </w:rPr>
        <w:t>In addition to being responsive to the GAO report, AAP-VI supports the President’s Management Agenda (PMA) and the Administration’s mandate for all government entities to transition to electronic business processes and recordkeeping.  Specifically, it supports two of the PMA’s three drivers</w:t>
      </w:r>
      <w:r w:rsidR="00A61725">
        <w:rPr>
          <w:sz w:val="24"/>
          <w:szCs w:val="24"/>
        </w:rPr>
        <w:t>:</w:t>
      </w:r>
      <w:r w:rsidRPr="008B7F6A">
        <w:rPr>
          <w:sz w:val="24"/>
          <w:szCs w:val="24"/>
        </w:rPr>
        <w:t xml:space="preserve"> </w:t>
      </w:r>
      <w:r w:rsidRPr="008B7F6A">
        <w:rPr>
          <w:i/>
          <w:sz w:val="24"/>
          <w:szCs w:val="24"/>
        </w:rPr>
        <w:t>Modern Information Technology (IT)</w:t>
      </w:r>
      <w:r w:rsidRPr="008B7F6A">
        <w:rPr>
          <w:sz w:val="24"/>
          <w:szCs w:val="24"/>
        </w:rPr>
        <w:t xml:space="preserve"> and </w:t>
      </w:r>
      <w:r w:rsidRPr="008B7F6A">
        <w:rPr>
          <w:i/>
          <w:sz w:val="24"/>
          <w:szCs w:val="24"/>
        </w:rPr>
        <w:t>Data, Accountability and Transparency</w:t>
      </w:r>
      <w:r w:rsidRPr="008B7F6A">
        <w:rPr>
          <w:sz w:val="24"/>
          <w:szCs w:val="24"/>
        </w:rPr>
        <w:t xml:space="preserve">.  AAP-VI is one part of OFCCP’s plan to transition its compliance evaluation processes and recordkeeping to a fully electronic mode.  </w:t>
      </w:r>
    </w:p>
    <w:p w:rsidR="00A61725" w:rsidP="00D66E4B" w:rsidRDefault="00A61725" w14:paraId="11BC0710" w14:textId="77777777">
      <w:pPr>
        <w:rPr>
          <w:sz w:val="24"/>
          <w:szCs w:val="24"/>
        </w:rPr>
      </w:pPr>
    </w:p>
    <w:p w:rsidR="00DB0490" w:rsidP="00D66E4B" w:rsidRDefault="00A61725" w14:paraId="717356DF" w14:textId="5580F62A">
      <w:pPr>
        <w:rPr>
          <w:sz w:val="24"/>
          <w:szCs w:val="24"/>
        </w:rPr>
      </w:pPr>
      <w:r>
        <w:rPr>
          <w:sz w:val="24"/>
          <w:szCs w:val="24"/>
        </w:rPr>
        <w:t>For several years</w:t>
      </w:r>
      <w:r w:rsidRPr="008B7F6A">
        <w:rPr>
          <w:sz w:val="24"/>
          <w:szCs w:val="24"/>
        </w:rPr>
        <w:t xml:space="preserve">, OFCCP has encouraged contractors to submit </w:t>
      </w:r>
      <w:r w:rsidR="00B361EB">
        <w:rPr>
          <w:sz w:val="24"/>
          <w:szCs w:val="24"/>
        </w:rPr>
        <w:t>AAPs and other information electronically.</w:t>
      </w:r>
      <w:r>
        <w:rPr>
          <w:sz w:val="24"/>
          <w:szCs w:val="24"/>
        </w:rPr>
        <w:t xml:space="preserve"> </w:t>
      </w:r>
      <w:r w:rsidR="004B7993">
        <w:rPr>
          <w:sz w:val="24"/>
          <w:szCs w:val="24"/>
        </w:rPr>
        <w:t xml:space="preserve"> </w:t>
      </w:r>
      <w:r w:rsidR="00B361EB">
        <w:rPr>
          <w:sz w:val="24"/>
          <w:szCs w:val="24"/>
        </w:rPr>
        <w:t>C</w:t>
      </w:r>
      <w:r>
        <w:rPr>
          <w:sz w:val="24"/>
          <w:szCs w:val="24"/>
        </w:rPr>
        <w:t>ontractors</w:t>
      </w:r>
      <w:r w:rsidRPr="008B7F6A">
        <w:rPr>
          <w:sz w:val="24"/>
          <w:szCs w:val="24"/>
        </w:rPr>
        <w:t xml:space="preserve"> </w:t>
      </w:r>
      <w:r>
        <w:rPr>
          <w:sz w:val="24"/>
          <w:szCs w:val="24"/>
        </w:rPr>
        <w:t xml:space="preserve">typically maintain </w:t>
      </w:r>
      <w:r w:rsidR="00B361EB">
        <w:rPr>
          <w:sz w:val="24"/>
          <w:szCs w:val="24"/>
        </w:rPr>
        <w:t xml:space="preserve">the information that OFCCP requests in an electronic </w:t>
      </w:r>
      <w:r w:rsidRPr="008B7F6A">
        <w:rPr>
          <w:sz w:val="24"/>
          <w:szCs w:val="24"/>
        </w:rPr>
        <w:t xml:space="preserve">format.  AAP-VI is a logical extension to this best practice.  </w:t>
      </w:r>
      <w:r w:rsidRPr="008B7F6A" w:rsidR="008B7F6A">
        <w:rPr>
          <w:sz w:val="24"/>
          <w:szCs w:val="24"/>
        </w:rPr>
        <w:t xml:space="preserve">OFCCP designed AAP-VI to work in coordination with </w:t>
      </w:r>
      <w:r w:rsidR="00C621B0">
        <w:rPr>
          <w:sz w:val="24"/>
          <w:szCs w:val="24"/>
        </w:rPr>
        <w:t>its</w:t>
      </w:r>
      <w:r w:rsidRPr="008B7F6A" w:rsidR="008B7F6A">
        <w:rPr>
          <w:sz w:val="24"/>
          <w:szCs w:val="24"/>
        </w:rPr>
        <w:t xml:space="preserve"> new CMS, </w:t>
      </w:r>
      <w:r w:rsidR="00B361EB">
        <w:rPr>
          <w:sz w:val="24"/>
          <w:szCs w:val="24"/>
        </w:rPr>
        <w:t>integrating</w:t>
      </w:r>
      <w:r w:rsidRPr="008B7F6A" w:rsidR="008B7F6A">
        <w:rPr>
          <w:sz w:val="24"/>
          <w:szCs w:val="24"/>
          <w:lang w:val="en"/>
        </w:rPr>
        <w:t xml:space="preserve"> case files in the cloud to streamline operations and </w:t>
      </w:r>
      <w:r w:rsidR="00B361EB">
        <w:rPr>
          <w:sz w:val="24"/>
          <w:szCs w:val="24"/>
          <w:lang w:val="en"/>
        </w:rPr>
        <w:t xml:space="preserve">to </w:t>
      </w:r>
      <w:r w:rsidRPr="008B7F6A" w:rsidR="008B7F6A">
        <w:rPr>
          <w:sz w:val="24"/>
          <w:szCs w:val="24"/>
          <w:lang w:val="en"/>
        </w:rPr>
        <w:t>enhance internal communication and collaboration nationwide.  During a compliance evaluation, CMS allows users to execute case actions, edit templates, and enter case data to process cases more quickly.</w:t>
      </w:r>
      <w:r w:rsidR="00B361EB">
        <w:rPr>
          <w:sz w:val="24"/>
          <w:szCs w:val="24"/>
        </w:rPr>
        <w:t xml:space="preserve">  When a contractor uploads its AAP using</w:t>
      </w:r>
      <w:r w:rsidR="00F8404A">
        <w:rPr>
          <w:sz w:val="24"/>
          <w:szCs w:val="24"/>
        </w:rPr>
        <w:t xml:space="preserve"> AAP-VI it will be available to </w:t>
      </w:r>
      <w:r w:rsidR="00B361EB">
        <w:rPr>
          <w:sz w:val="24"/>
          <w:szCs w:val="24"/>
        </w:rPr>
        <w:t>OFCCP staff conducting the compliance evaluation in CMS</w:t>
      </w:r>
      <w:r w:rsidR="00F8404A">
        <w:rPr>
          <w:sz w:val="24"/>
          <w:szCs w:val="24"/>
        </w:rPr>
        <w:t>.  Th</w:t>
      </w:r>
      <w:r w:rsidR="00DB0490">
        <w:rPr>
          <w:sz w:val="24"/>
          <w:szCs w:val="24"/>
        </w:rPr>
        <w:t>i</w:t>
      </w:r>
      <w:r w:rsidR="00F8404A">
        <w:rPr>
          <w:sz w:val="24"/>
          <w:szCs w:val="24"/>
        </w:rPr>
        <w:t>s streamlined document management process</w:t>
      </w:r>
      <w:r w:rsidR="00B361EB">
        <w:rPr>
          <w:sz w:val="24"/>
          <w:szCs w:val="24"/>
        </w:rPr>
        <w:t xml:space="preserve"> increas</w:t>
      </w:r>
      <w:r w:rsidR="00F8404A">
        <w:rPr>
          <w:sz w:val="24"/>
          <w:szCs w:val="24"/>
        </w:rPr>
        <w:t xml:space="preserve">es </w:t>
      </w:r>
      <w:r w:rsidR="00B361EB">
        <w:rPr>
          <w:sz w:val="24"/>
          <w:szCs w:val="24"/>
        </w:rPr>
        <w:t>government efficiency</w:t>
      </w:r>
      <w:r w:rsidR="00F8404A">
        <w:rPr>
          <w:sz w:val="24"/>
          <w:szCs w:val="24"/>
        </w:rPr>
        <w:t xml:space="preserve"> and further transitions OFCCP to electronic business processes and recordkeeping</w:t>
      </w:r>
      <w:r w:rsidR="00B361EB">
        <w:rPr>
          <w:sz w:val="24"/>
          <w:szCs w:val="24"/>
        </w:rPr>
        <w:t xml:space="preserve">. </w:t>
      </w:r>
    </w:p>
    <w:p w:rsidR="00DB0490" w:rsidP="00D66E4B" w:rsidRDefault="00DB0490" w14:paraId="6DD0E506" w14:textId="77777777">
      <w:pPr>
        <w:rPr>
          <w:sz w:val="24"/>
          <w:szCs w:val="24"/>
        </w:rPr>
      </w:pPr>
    </w:p>
    <w:p w:rsidR="008B7F6A" w:rsidP="00D66E4B" w:rsidRDefault="00DB0490" w14:paraId="4CA310E5" w14:textId="4CCB2FF8">
      <w:pPr>
        <w:rPr>
          <w:sz w:val="24"/>
          <w:szCs w:val="24"/>
        </w:rPr>
      </w:pPr>
      <w:r>
        <w:rPr>
          <w:sz w:val="24"/>
          <w:szCs w:val="24"/>
        </w:rPr>
        <w:t>Contractors currently have the option to submit information to OFCCP via email or using a delivery, courier</w:t>
      </w:r>
      <w:r w:rsidR="006B5257">
        <w:rPr>
          <w:sz w:val="24"/>
          <w:szCs w:val="24"/>
        </w:rPr>
        <w:t>,</w:t>
      </w:r>
      <w:r>
        <w:rPr>
          <w:sz w:val="24"/>
          <w:szCs w:val="24"/>
        </w:rPr>
        <w:t xml:space="preserve"> or postal service.  Unlike AAP-VI, OFCCP does not have control nor can it guarantee the security of a sender</w:t>
      </w:r>
      <w:r w:rsidR="00240912">
        <w:rPr>
          <w:sz w:val="24"/>
          <w:szCs w:val="24"/>
        </w:rPr>
        <w:t>’</w:t>
      </w:r>
      <w:r>
        <w:rPr>
          <w:sz w:val="24"/>
          <w:szCs w:val="24"/>
        </w:rPr>
        <w:t xml:space="preserve">s email server or hand-delivery services. </w:t>
      </w:r>
      <w:r w:rsidR="004B7993">
        <w:rPr>
          <w:sz w:val="24"/>
          <w:szCs w:val="24"/>
        </w:rPr>
        <w:t xml:space="preserve"> </w:t>
      </w:r>
      <w:r>
        <w:rPr>
          <w:sz w:val="24"/>
          <w:szCs w:val="24"/>
        </w:rPr>
        <w:t>Any third-party email</w:t>
      </w:r>
      <w:r w:rsidR="00240912">
        <w:rPr>
          <w:sz w:val="24"/>
          <w:szCs w:val="24"/>
        </w:rPr>
        <w:t xml:space="preserve"> hosting provider can gain read-and-</w:t>
      </w:r>
      <w:r>
        <w:rPr>
          <w:sz w:val="24"/>
          <w:szCs w:val="24"/>
        </w:rPr>
        <w:t xml:space="preserve">write access to data sent via their servers. </w:t>
      </w:r>
      <w:r w:rsidR="000E7815">
        <w:rPr>
          <w:sz w:val="24"/>
          <w:szCs w:val="24"/>
        </w:rPr>
        <w:t xml:space="preserve"> </w:t>
      </w:r>
      <w:r>
        <w:rPr>
          <w:sz w:val="24"/>
          <w:szCs w:val="24"/>
        </w:rPr>
        <w:t>Thus, enabling a direct connection between the contractor and AAP-VI vastly decreases the chances of data breach compared to email submissions.</w:t>
      </w:r>
    </w:p>
    <w:p w:rsidR="00B361EB" w:rsidP="00D66E4B" w:rsidRDefault="00B361EB" w14:paraId="6A203483" w14:textId="77777777">
      <w:pPr>
        <w:rPr>
          <w:sz w:val="24"/>
          <w:szCs w:val="24"/>
        </w:rPr>
      </w:pPr>
    </w:p>
    <w:p w:rsidR="003B0CA7" w:rsidP="003B0CA7" w:rsidRDefault="003B0CA7" w14:paraId="6D00DA21" w14:textId="7CC6279B">
      <w:pPr>
        <w:autoSpaceDE w:val="0"/>
        <w:autoSpaceDN w:val="0"/>
        <w:rPr>
          <w:iCs/>
          <w:sz w:val="24"/>
          <w:szCs w:val="24"/>
          <w:lang w:val="en"/>
        </w:rPr>
      </w:pPr>
      <w:r>
        <w:rPr>
          <w:iCs/>
          <w:sz w:val="24"/>
          <w:szCs w:val="24"/>
        </w:rPr>
        <w:t xml:space="preserve">OFCCP designed AAP-VI to be in compliance with the </w:t>
      </w:r>
      <w:r>
        <w:rPr>
          <w:iCs/>
          <w:sz w:val="24"/>
          <w:szCs w:val="24"/>
          <w:lang w:val="en"/>
        </w:rPr>
        <w:t xml:space="preserve">Federal Information Security Modernization Act of 2002 and the </w:t>
      </w:r>
      <w:r>
        <w:rPr>
          <w:iCs/>
          <w:sz w:val="24"/>
          <w:szCs w:val="24"/>
        </w:rPr>
        <w:t xml:space="preserve">strict access controls and standards established by the National Institute of Standards and Technology (NIST).  In its publication NIST SP 800-53, NIST details the security protocols and standards </w:t>
      </w:r>
      <w:r w:rsidR="00C621B0">
        <w:rPr>
          <w:iCs/>
          <w:sz w:val="24"/>
          <w:szCs w:val="24"/>
        </w:rPr>
        <w:t>with which</w:t>
      </w:r>
      <w:r>
        <w:rPr>
          <w:iCs/>
          <w:sz w:val="24"/>
          <w:szCs w:val="24"/>
        </w:rPr>
        <w:t xml:space="preserve"> all federal agencies must comply. </w:t>
      </w:r>
      <w:r w:rsidR="00F8404A">
        <w:rPr>
          <w:iCs/>
          <w:sz w:val="24"/>
          <w:szCs w:val="24"/>
        </w:rPr>
        <w:t xml:space="preserve"> </w:t>
      </w:r>
      <w:r>
        <w:rPr>
          <w:iCs/>
          <w:sz w:val="24"/>
          <w:szCs w:val="24"/>
        </w:rPr>
        <w:t xml:space="preserve">External access to AAP-VI is controlled via a multi-layered process.  The first process requires the use of two-factor authentication via Login.gov, before initial entry to AAP-VI is granted.  Login.gov </w:t>
      </w:r>
      <w:r>
        <w:rPr>
          <w:iCs/>
          <w:sz w:val="24"/>
          <w:szCs w:val="24"/>
          <w:lang w:val="en"/>
        </w:rPr>
        <w:t xml:space="preserve">encrypts the sensitive personal information of each user separately using a unique value generated from each user’s password. </w:t>
      </w:r>
      <w:r w:rsidR="000E7815">
        <w:rPr>
          <w:iCs/>
          <w:sz w:val="24"/>
          <w:szCs w:val="24"/>
          <w:lang w:val="en"/>
        </w:rPr>
        <w:t xml:space="preserve"> </w:t>
      </w:r>
      <w:r>
        <w:rPr>
          <w:iCs/>
          <w:sz w:val="24"/>
          <w:szCs w:val="24"/>
          <w:lang w:val="en"/>
        </w:rPr>
        <w:t>This encryption method works like a safe deposit box in a bank vault.</w:t>
      </w:r>
      <w:r w:rsidR="00F8404A">
        <w:rPr>
          <w:iCs/>
          <w:sz w:val="24"/>
          <w:szCs w:val="24"/>
          <w:lang w:val="en"/>
        </w:rPr>
        <w:t xml:space="preserve"> </w:t>
      </w:r>
      <w:r w:rsidR="000762A8">
        <w:rPr>
          <w:iCs/>
          <w:sz w:val="24"/>
          <w:szCs w:val="24"/>
          <w:lang w:val="en"/>
        </w:rPr>
        <w:t xml:space="preserve"> Only the user has the key</w:t>
      </w:r>
      <w:r w:rsidR="004C063E">
        <w:rPr>
          <w:iCs/>
          <w:sz w:val="24"/>
          <w:szCs w:val="24"/>
          <w:lang w:val="en"/>
        </w:rPr>
        <w:t>,</w:t>
      </w:r>
      <w:r>
        <w:rPr>
          <w:iCs/>
          <w:sz w:val="24"/>
          <w:szCs w:val="24"/>
          <w:lang w:val="en"/>
        </w:rPr>
        <w:t xml:space="preserve"> can open the box to reveal the contents, knows the password, and can decrypt their information. </w:t>
      </w:r>
      <w:r w:rsidR="00F8404A">
        <w:rPr>
          <w:iCs/>
          <w:sz w:val="24"/>
          <w:szCs w:val="24"/>
          <w:lang w:val="en"/>
        </w:rPr>
        <w:t xml:space="preserve"> </w:t>
      </w:r>
      <w:r>
        <w:rPr>
          <w:iCs/>
          <w:sz w:val="24"/>
          <w:szCs w:val="24"/>
          <w:lang w:val="en"/>
        </w:rPr>
        <w:t>The second layer requires the user to enter company</w:t>
      </w:r>
      <w:r w:rsidR="006B5257">
        <w:rPr>
          <w:iCs/>
          <w:sz w:val="24"/>
          <w:szCs w:val="24"/>
          <w:lang w:val="en"/>
        </w:rPr>
        <w:t>-</w:t>
      </w:r>
      <w:r>
        <w:rPr>
          <w:iCs/>
          <w:sz w:val="24"/>
          <w:szCs w:val="24"/>
          <w:lang w:val="en"/>
        </w:rPr>
        <w:t xml:space="preserve">specific information of which only the company representative, </w:t>
      </w:r>
      <w:r w:rsidR="00F8404A">
        <w:rPr>
          <w:iCs/>
          <w:sz w:val="24"/>
          <w:szCs w:val="24"/>
          <w:lang w:val="en"/>
        </w:rPr>
        <w:t>OFCCP</w:t>
      </w:r>
      <w:r w:rsidR="00390643">
        <w:rPr>
          <w:iCs/>
          <w:sz w:val="24"/>
          <w:szCs w:val="24"/>
          <w:lang w:val="en"/>
        </w:rPr>
        <w:t>, and the Equal Employment Opportunity Commission</w:t>
      </w:r>
      <w:r>
        <w:rPr>
          <w:iCs/>
          <w:sz w:val="24"/>
          <w:szCs w:val="24"/>
          <w:lang w:val="en"/>
        </w:rPr>
        <w:t xml:space="preserve"> know.  </w:t>
      </w:r>
    </w:p>
    <w:p w:rsidR="00DB0490" w:rsidP="003B0CA7" w:rsidRDefault="00DB0490" w14:paraId="1B96363B" w14:textId="6BFAD6BD">
      <w:pPr>
        <w:autoSpaceDE w:val="0"/>
        <w:autoSpaceDN w:val="0"/>
        <w:rPr>
          <w:iCs/>
          <w:sz w:val="24"/>
          <w:szCs w:val="24"/>
          <w:lang w:val="en"/>
        </w:rPr>
      </w:pPr>
    </w:p>
    <w:p w:rsidR="00DB0490" w:rsidP="00DB0490" w:rsidRDefault="00DB0490" w14:paraId="6C4CD8FE" w14:textId="40230FF8">
      <w:pPr>
        <w:rPr>
          <w:sz w:val="24"/>
          <w:szCs w:val="24"/>
        </w:rPr>
      </w:pPr>
      <w:r>
        <w:rPr>
          <w:sz w:val="24"/>
          <w:szCs w:val="24"/>
        </w:rPr>
        <w:t xml:space="preserve">AAP-VI’s web portal is built on a Drupal platform.  Drupal is fast becoming the go-to </w:t>
      </w:r>
      <w:r w:rsidR="006B5257">
        <w:rPr>
          <w:sz w:val="24"/>
          <w:szCs w:val="24"/>
        </w:rPr>
        <w:t>c</w:t>
      </w:r>
      <w:r>
        <w:rPr>
          <w:sz w:val="24"/>
          <w:szCs w:val="24"/>
        </w:rPr>
        <w:t xml:space="preserve">ontent </w:t>
      </w:r>
      <w:r w:rsidR="006B5257">
        <w:rPr>
          <w:sz w:val="24"/>
          <w:szCs w:val="24"/>
        </w:rPr>
        <w:t>m</w:t>
      </w:r>
      <w:r>
        <w:rPr>
          <w:sz w:val="24"/>
          <w:szCs w:val="24"/>
        </w:rPr>
        <w:t xml:space="preserve">anagement </w:t>
      </w:r>
      <w:r w:rsidR="006B5257">
        <w:rPr>
          <w:sz w:val="24"/>
          <w:szCs w:val="24"/>
        </w:rPr>
        <w:t>s</w:t>
      </w:r>
      <w:r>
        <w:rPr>
          <w:sz w:val="24"/>
          <w:szCs w:val="24"/>
        </w:rPr>
        <w:t>ystem for government agencies due to its built-in security modules, including</w:t>
      </w:r>
      <w:r w:rsidR="006053A6">
        <w:rPr>
          <w:sz w:val="24"/>
          <w:szCs w:val="24"/>
        </w:rPr>
        <w:t xml:space="preserve"> the following</w:t>
      </w:r>
      <w:r>
        <w:rPr>
          <w:sz w:val="24"/>
          <w:szCs w:val="24"/>
        </w:rPr>
        <w:t>:</w:t>
      </w:r>
    </w:p>
    <w:p w:rsidR="00DB0490" w:rsidP="00DB0490" w:rsidRDefault="00DB0490" w14:paraId="5B2D8C85" w14:textId="77777777">
      <w:pPr>
        <w:rPr>
          <w:sz w:val="24"/>
          <w:szCs w:val="24"/>
        </w:rPr>
      </w:pPr>
      <w:r>
        <w:rPr>
          <w:sz w:val="24"/>
          <w:szCs w:val="24"/>
        </w:rPr>
        <w:lastRenderedPageBreak/>
        <w:t> </w:t>
      </w:r>
    </w:p>
    <w:p w:rsidR="00DB0490" w:rsidP="00DB0490" w:rsidRDefault="00DB0490" w14:paraId="7D74BB14" w14:textId="77777777">
      <w:pPr>
        <w:numPr>
          <w:ilvl w:val="0"/>
          <w:numId w:val="31"/>
        </w:numPr>
        <w:tabs>
          <w:tab w:val="clear" w:pos="720"/>
          <w:tab w:val="num" w:pos="0"/>
        </w:tabs>
        <w:ind w:left="1080"/>
        <w:textAlignment w:val="center"/>
        <w:rPr>
          <w:sz w:val="24"/>
          <w:szCs w:val="24"/>
        </w:rPr>
      </w:pPr>
      <w:r>
        <w:rPr>
          <w:sz w:val="24"/>
          <w:szCs w:val="24"/>
        </w:rPr>
        <w:t>Security Kit that deals with any issue or attack concerning HTML injection;</w:t>
      </w:r>
    </w:p>
    <w:p w:rsidR="00DB0490" w:rsidP="00DB0490" w:rsidRDefault="00DB0490" w14:paraId="0239FCA2" w14:textId="77777777">
      <w:pPr>
        <w:numPr>
          <w:ilvl w:val="0"/>
          <w:numId w:val="32"/>
        </w:numPr>
        <w:tabs>
          <w:tab w:val="clear" w:pos="720"/>
          <w:tab w:val="num" w:pos="0"/>
        </w:tabs>
        <w:ind w:left="1080"/>
        <w:textAlignment w:val="center"/>
        <w:rPr>
          <w:sz w:val="24"/>
          <w:szCs w:val="24"/>
        </w:rPr>
      </w:pPr>
      <w:r>
        <w:rPr>
          <w:sz w:val="24"/>
          <w:szCs w:val="24"/>
        </w:rPr>
        <w:t>Login Security that denies full access to the content; </w:t>
      </w:r>
    </w:p>
    <w:p w:rsidR="00DB0490" w:rsidP="00DB0490" w:rsidRDefault="00DB0490" w14:paraId="059D8AD4" w14:textId="77777777">
      <w:pPr>
        <w:numPr>
          <w:ilvl w:val="0"/>
          <w:numId w:val="33"/>
        </w:numPr>
        <w:tabs>
          <w:tab w:val="clear" w:pos="720"/>
          <w:tab w:val="num" w:pos="0"/>
        </w:tabs>
        <w:ind w:left="1080"/>
        <w:textAlignment w:val="center"/>
        <w:rPr>
          <w:sz w:val="24"/>
          <w:szCs w:val="24"/>
        </w:rPr>
      </w:pPr>
      <w:r>
        <w:rPr>
          <w:sz w:val="24"/>
          <w:szCs w:val="24"/>
        </w:rPr>
        <w:t>Password Policy that requires passwords to be more complicated; </w:t>
      </w:r>
    </w:p>
    <w:p w:rsidR="00DB0490" w:rsidP="00DB0490" w:rsidRDefault="00DB0490" w14:paraId="07E38E6F" w14:textId="1CDA5927">
      <w:pPr>
        <w:numPr>
          <w:ilvl w:val="0"/>
          <w:numId w:val="34"/>
        </w:numPr>
        <w:tabs>
          <w:tab w:val="clear" w:pos="720"/>
          <w:tab w:val="num" w:pos="0"/>
        </w:tabs>
        <w:ind w:left="1080"/>
        <w:textAlignment w:val="center"/>
        <w:rPr>
          <w:sz w:val="24"/>
          <w:szCs w:val="24"/>
        </w:rPr>
      </w:pPr>
      <w:r>
        <w:rPr>
          <w:sz w:val="24"/>
          <w:szCs w:val="24"/>
        </w:rPr>
        <w:t>Website Captcha and Secure Login that enable safe login procedure</w:t>
      </w:r>
      <w:r w:rsidR="006B5257">
        <w:rPr>
          <w:sz w:val="24"/>
          <w:szCs w:val="24"/>
        </w:rPr>
        <w:t>s</w:t>
      </w:r>
      <w:r>
        <w:rPr>
          <w:sz w:val="24"/>
          <w:szCs w:val="24"/>
        </w:rPr>
        <w:t xml:space="preserve"> and prevent user data theft;</w:t>
      </w:r>
      <w:r w:rsidR="006B5257">
        <w:rPr>
          <w:sz w:val="24"/>
          <w:szCs w:val="24"/>
        </w:rPr>
        <w:t xml:space="preserve"> and</w:t>
      </w:r>
    </w:p>
    <w:p w:rsidR="00DB0490" w:rsidP="00DB0490" w:rsidRDefault="00DB0490" w14:paraId="3FDBF143" w14:textId="77777777">
      <w:pPr>
        <w:numPr>
          <w:ilvl w:val="0"/>
          <w:numId w:val="35"/>
        </w:numPr>
        <w:tabs>
          <w:tab w:val="clear" w:pos="720"/>
          <w:tab w:val="num" w:pos="0"/>
        </w:tabs>
        <w:ind w:left="1080"/>
        <w:textAlignment w:val="center"/>
        <w:rPr>
          <w:sz w:val="24"/>
          <w:szCs w:val="24"/>
        </w:rPr>
      </w:pPr>
      <w:r>
        <w:rPr>
          <w:sz w:val="24"/>
          <w:szCs w:val="24"/>
        </w:rPr>
        <w:t>XSS Protection module that protects the website from XSS attacks.</w:t>
      </w:r>
    </w:p>
    <w:p w:rsidR="00DB0490" w:rsidP="00DB0490" w:rsidRDefault="00DB0490" w14:paraId="73C363B8" w14:textId="77777777">
      <w:pPr>
        <w:rPr>
          <w:sz w:val="24"/>
          <w:szCs w:val="24"/>
        </w:rPr>
      </w:pPr>
      <w:r>
        <w:rPr>
          <w:sz w:val="24"/>
          <w:szCs w:val="24"/>
        </w:rPr>
        <w:t> </w:t>
      </w:r>
    </w:p>
    <w:p w:rsidR="003B0CA7" w:rsidP="003B0CA7" w:rsidRDefault="00DB0490" w14:paraId="72A75112" w14:textId="0B1D77D1">
      <w:pPr>
        <w:autoSpaceDE w:val="0"/>
        <w:autoSpaceDN w:val="0"/>
        <w:rPr>
          <w:iCs/>
          <w:sz w:val="24"/>
          <w:szCs w:val="24"/>
        </w:rPr>
      </w:pPr>
      <w:r>
        <w:rPr>
          <w:iCs/>
          <w:sz w:val="24"/>
          <w:szCs w:val="24"/>
        </w:rPr>
        <w:t>Though OFCCP staff would be able to access uploaded AAPs in CMS, i</w:t>
      </w:r>
      <w:r w:rsidR="003B0CA7">
        <w:rPr>
          <w:iCs/>
          <w:sz w:val="24"/>
          <w:szCs w:val="24"/>
        </w:rPr>
        <w:t>nternal access to AAP-VI is not offered agency</w:t>
      </w:r>
      <w:r w:rsidR="006053A6">
        <w:rPr>
          <w:iCs/>
          <w:sz w:val="24"/>
          <w:szCs w:val="24"/>
        </w:rPr>
        <w:t>-</w:t>
      </w:r>
      <w:r w:rsidR="003B0CA7">
        <w:rPr>
          <w:iCs/>
          <w:sz w:val="24"/>
          <w:szCs w:val="24"/>
        </w:rPr>
        <w:t xml:space="preserve">wide and is limited to </w:t>
      </w:r>
      <w:r w:rsidR="00963470">
        <w:rPr>
          <w:iCs/>
          <w:sz w:val="24"/>
          <w:szCs w:val="24"/>
        </w:rPr>
        <w:t>fewer</w:t>
      </w:r>
      <w:r w:rsidR="00C16A5F">
        <w:rPr>
          <w:iCs/>
          <w:sz w:val="24"/>
          <w:szCs w:val="24"/>
        </w:rPr>
        <w:t xml:space="preserve"> than 10 </w:t>
      </w:r>
      <w:r w:rsidR="003B0CA7">
        <w:rPr>
          <w:iCs/>
          <w:sz w:val="24"/>
          <w:szCs w:val="24"/>
        </w:rPr>
        <w:t xml:space="preserve">agency staff who are directly assigned to administer and support the interface.  Internal agency staff are required to use their Personal Identification Verification </w:t>
      </w:r>
      <w:r w:rsidR="006B5257">
        <w:rPr>
          <w:iCs/>
          <w:sz w:val="24"/>
          <w:szCs w:val="24"/>
        </w:rPr>
        <w:t>c</w:t>
      </w:r>
      <w:r w:rsidR="003B0CA7">
        <w:rPr>
          <w:iCs/>
          <w:sz w:val="24"/>
          <w:szCs w:val="24"/>
        </w:rPr>
        <w:t xml:space="preserve">ard in order to access the interface.  Any data is secured using approved and compliant cryptographic mechanisms and algorithms to secure data transmitted, processed, and stored by the interface, according to NIST Federal Information Processing Standards which are verified by </w:t>
      </w:r>
      <w:r w:rsidR="00613D55">
        <w:rPr>
          <w:iCs/>
          <w:sz w:val="24"/>
          <w:szCs w:val="24"/>
        </w:rPr>
        <w:t xml:space="preserve">the </w:t>
      </w:r>
      <w:r w:rsidR="003B0CA7">
        <w:rPr>
          <w:iCs/>
          <w:sz w:val="24"/>
          <w:szCs w:val="24"/>
        </w:rPr>
        <w:t xml:space="preserve">Office of the Chief Information Officer. </w:t>
      </w:r>
    </w:p>
    <w:p w:rsidR="003B0CA7" w:rsidP="003B0CA7" w:rsidRDefault="003B0CA7" w14:paraId="17DE19FA" w14:textId="77777777">
      <w:pPr>
        <w:rPr>
          <w:sz w:val="24"/>
          <w:szCs w:val="24"/>
        </w:rPr>
      </w:pPr>
    </w:p>
    <w:p w:rsidRPr="00720EE4" w:rsidR="00377386" w:rsidP="00377386" w:rsidRDefault="00377386" w14:paraId="0479AB24" w14:textId="77777777">
      <w:pPr>
        <w:rPr>
          <w:b/>
          <w:sz w:val="24"/>
          <w:szCs w:val="24"/>
        </w:rPr>
      </w:pPr>
      <w:r w:rsidRPr="00720EE4">
        <w:rPr>
          <w:b/>
          <w:sz w:val="24"/>
          <w:szCs w:val="24"/>
        </w:rPr>
        <w:t>1.  Legal and Administrative Requirements</w:t>
      </w:r>
    </w:p>
    <w:p w:rsidRPr="00720EE4" w:rsidR="00387390" w:rsidP="00377386" w:rsidRDefault="00387390" w14:paraId="4AA734EE" w14:textId="77777777">
      <w:pPr>
        <w:rPr>
          <w:b/>
          <w:sz w:val="24"/>
          <w:szCs w:val="24"/>
        </w:rPr>
      </w:pPr>
    </w:p>
    <w:p w:rsidRPr="00720EE4" w:rsidR="00927EDA" w:rsidP="00927EDA" w:rsidRDefault="00927EDA" w14:paraId="0BA678CA" w14:textId="535BCE29">
      <w:pPr>
        <w:rPr>
          <w:rFonts w:eastAsia="Calibri"/>
          <w:color w:val="000000"/>
          <w:sz w:val="24"/>
          <w:szCs w:val="22"/>
        </w:rPr>
      </w:pPr>
      <w:r w:rsidRPr="00720EE4">
        <w:rPr>
          <w:rFonts w:eastAsia="Calibri"/>
          <w:color w:val="000000"/>
          <w:sz w:val="24"/>
          <w:szCs w:val="22"/>
        </w:rPr>
        <w:t>OFCCP administers and enforces the three equal employment opportunity laws listed below, which</w:t>
      </w:r>
      <w:r w:rsidRPr="00720EE4">
        <w:rPr>
          <w:rFonts w:eastAsia="Calibri"/>
          <w:color w:val="000000"/>
          <w:sz w:val="24"/>
          <w:szCs w:val="22"/>
          <w:vertAlign w:val="superscript"/>
        </w:rPr>
        <w:t xml:space="preserve"> </w:t>
      </w:r>
      <w:r w:rsidRPr="00720EE4">
        <w:rPr>
          <w:rFonts w:eastAsia="Calibri"/>
          <w:color w:val="000000"/>
          <w:sz w:val="24"/>
          <w:szCs w:val="22"/>
        </w:rPr>
        <w:t xml:space="preserve">prohibit employment discrimination and set affirmative action requirements for contractors that meet </w:t>
      </w:r>
      <w:r w:rsidRPr="00720EE4" w:rsidR="00856CDC">
        <w:rPr>
          <w:rFonts w:eastAsia="Calibri"/>
          <w:color w:val="000000"/>
          <w:sz w:val="24"/>
          <w:szCs w:val="22"/>
        </w:rPr>
        <w:t>OFCCP’s</w:t>
      </w:r>
      <w:r w:rsidRPr="00720EE4">
        <w:rPr>
          <w:rFonts w:eastAsia="Calibri"/>
          <w:color w:val="000000"/>
          <w:sz w:val="24"/>
          <w:szCs w:val="22"/>
        </w:rPr>
        <w:t xml:space="preserve"> jurisdictional thresholds.</w:t>
      </w:r>
      <w:r w:rsidRPr="00720EE4" w:rsidR="007A7A3D">
        <w:rPr>
          <w:rFonts w:eastAsia="Calibri"/>
          <w:color w:val="000000"/>
          <w:sz w:val="24"/>
          <w:szCs w:val="22"/>
          <w:vertAlign w:val="superscript"/>
        </w:rPr>
        <w:footnoteReference w:id="6"/>
      </w:r>
    </w:p>
    <w:p w:rsidRPr="00720EE4" w:rsidR="00927EDA" w:rsidP="00927EDA" w:rsidRDefault="00927EDA" w14:paraId="0C748732" w14:textId="77777777">
      <w:pPr>
        <w:rPr>
          <w:rFonts w:eastAsia="Calibri"/>
          <w:color w:val="000000"/>
          <w:sz w:val="24"/>
          <w:szCs w:val="22"/>
        </w:rPr>
      </w:pPr>
    </w:p>
    <w:p w:rsidRPr="00720EE4" w:rsidR="00927EDA" w:rsidP="00720EE4" w:rsidRDefault="00927EDA" w14:paraId="6D734A46" w14:textId="3888018E">
      <w:pPr>
        <w:pStyle w:val="ListParagraph"/>
        <w:numPr>
          <w:ilvl w:val="0"/>
          <w:numId w:val="26"/>
        </w:numPr>
        <w:tabs>
          <w:tab w:val="left" w:pos="-720"/>
        </w:tabs>
        <w:rPr>
          <w:color w:val="000000"/>
          <w:sz w:val="24"/>
          <w:szCs w:val="24"/>
        </w:rPr>
      </w:pPr>
      <w:r w:rsidRPr="00720EE4">
        <w:rPr>
          <w:color w:val="000000"/>
          <w:sz w:val="24"/>
          <w:szCs w:val="24"/>
        </w:rPr>
        <w:t>Executive Ord</w:t>
      </w:r>
      <w:r w:rsidR="007A7A3D">
        <w:rPr>
          <w:color w:val="000000"/>
          <w:sz w:val="24"/>
          <w:szCs w:val="24"/>
        </w:rPr>
        <w:t>er 11246, as amended (EO 11246)</w:t>
      </w:r>
    </w:p>
    <w:p w:rsidRPr="00720EE4" w:rsidR="00927EDA" w:rsidP="00720EE4" w:rsidRDefault="00927EDA" w14:paraId="7AF559B6" w14:textId="705302F8">
      <w:pPr>
        <w:pStyle w:val="ListParagraph"/>
        <w:numPr>
          <w:ilvl w:val="0"/>
          <w:numId w:val="26"/>
        </w:numPr>
        <w:tabs>
          <w:tab w:val="left" w:pos="-720"/>
        </w:tabs>
        <w:rPr>
          <w:color w:val="000000"/>
          <w:sz w:val="24"/>
          <w:szCs w:val="24"/>
        </w:rPr>
      </w:pPr>
      <w:r w:rsidRPr="00720EE4">
        <w:rPr>
          <w:color w:val="000000"/>
          <w:sz w:val="24"/>
          <w:szCs w:val="24"/>
        </w:rPr>
        <w:t>Section 503 of the Rehabilitation Act of 197</w:t>
      </w:r>
      <w:r w:rsidR="007A7A3D">
        <w:rPr>
          <w:color w:val="000000"/>
          <w:sz w:val="24"/>
          <w:szCs w:val="24"/>
        </w:rPr>
        <w:t>3, as amended (Section 503)</w:t>
      </w:r>
      <w:r w:rsidRPr="00720EE4">
        <w:rPr>
          <w:color w:val="000000"/>
          <w:sz w:val="24"/>
          <w:szCs w:val="24"/>
        </w:rPr>
        <w:t xml:space="preserve"> </w:t>
      </w:r>
    </w:p>
    <w:p w:rsidRPr="00720EE4" w:rsidR="00032165" w:rsidP="00720EE4" w:rsidRDefault="00927EDA" w14:paraId="317F85BE" w14:textId="0829E7AD">
      <w:pPr>
        <w:pStyle w:val="ListParagraph"/>
        <w:numPr>
          <w:ilvl w:val="0"/>
          <w:numId w:val="26"/>
        </w:numPr>
        <w:tabs>
          <w:tab w:val="left" w:pos="-720"/>
        </w:tabs>
        <w:rPr>
          <w:color w:val="000000"/>
          <w:sz w:val="24"/>
          <w:szCs w:val="24"/>
        </w:rPr>
      </w:pPr>
      <w:r w:rsidRPr="00720EE4">
        <w:rPr>
          <w:color w:val="000000"/>
          <w:sz w:val="24"/>
          <w:szCs w:val="24"/>
        </w:rPr>
        <w:t>Vietnam Era Veterans</w:t>
      </w:r>
      <w:r w:rsidRPr="00720EE4" w:rsidR="009C15B7">
        <w:rPr>
          <w:color w:val="000000"/>
          <w:sz w:val="24"/>
          <w:szCs w:val="24"/>
        </w:rPr>
        <w:t>’</w:t>
      </w:r>
      <w:r w:rsidRPr="00720EE4">
        <w:rPr>
          <w:color w:val="000000"/>
          <w:sz w:val="24"/>
          <w:szCs w:val="24"/>
        </w:rPr>
        <w:t xml:space="preserve"> Readjustment Assistance A</w:t>
      </w:r>
      <w:r w:rsidR="007A7A3D">
        <w:rPr>
          <w:color w:val="000000"/>
          <w:sz w:val="24"/>
          <w:szCs w:val="24"/>
        </w:rPr>
        <w:t>ct of 1974, as amended (VEVRAA)</w:t>
      </w:r>
    </w:p>
    <w:p w:rsidRPr="00720EE4" w:rsidR="00912523" w:rsidRDefault="00912523" w14:paraId="043A8FC9" w14:textId="77777777">
      <w:pPr>
        <w:rPr>
          <w:sz w:val="24"/>
          <w:szCs w:val="24"/>
        </w:rPr>
      </w:pPr>
    </w:p>
    <w:p w:rsidRPr="00720EE4" w:rsidR="00927EDA" w:rsidP="00927EDA" w:rsidRDefault="00927EDA" w14:paraId="55AAC99E" w14:textId="77777777">
      <w:pPr>
        <w:tabs>
          <w:tab w:val="left" w:pos="-720"/>
        </w:tabs>
        <w:jc w:val="center"/>
        <w:rPr>
          <w:b/>
          <w:color w:val="000000"/>
          <w:sz w:val="24"/>
          <w:szCs w:val="24"/>
        </w:rPr>
      </w:pPr>
      <w:r w:rsidRPr="00720EE4">
        <w:rPr>
          <w:b/>
          <w:color w:val="000000"/>
          <w:sz w:val="24"/>
          <w:szCs w:val="24"/>
        </w:rPr>
        <w:t>Executive Order 11246</w:t>
      </w:r>
    </w:p>
    <w:p w:rsidRPr="00720EE4" w:rsidR="00927EDA" w:rsidP="00927EDA" w:rsidRDefault="00927EDA" w14:paraId="140583B3" w14:textId="77777777">
      <w:pPr>
        <w:tabs>
          <w:tab w:val="left" w:pos="-720"/>
          <w:tab w:val="left" w:pos="0"/>
        </w:tabs>
        <w:rPr>
          <w:color w:val="000000"/>
          <w:sz w:val="24"/>
          <w:szCs w:val="24"/>
        </w:rPr>
      </w:pPr>
    </w:p>
    <w:p w:rsidRPr="00720EE4" w:rsidR="00B461F9" w:rsidP="00B461F9" w:rsidRDefault="00B461F9" w14:paraId="329A2094" w14:textId="77777777">
      <w:pPr>
        <w:tabs>
          <w:tab w:val="left" w:pos="-720"/>
          <w:tab w:val="left" w:pos="0"/>
        </w:tabs>
        <w:rPr>
          <w:color w:val="000000"/>
          <w:sz w:val="24"/>
          <w:szCs w:val="24"/>
        </w:rPr>
      </w:pPr>
      <w:r w:rsidRPr="00720EE4">
        <w:rPr>
          <w:color w:val="000000"/>
          <w:sz w:val="24"/>
          <w:szCs w:val="24"/>
        </w:rPr>
        <w:t>EO 11246 prohibits contractors from discriminating against applicants and employees based on race, color, religion, sex, sexual orientation, gender identity, and national origin and requires contractors to take affirmative action to ensure that equal opportunity is provided in all aspects of their employment.  Additionally, it prohibits contractors from taking adverse employment actions against applicants and employees for inquiring about, discussing, or disclosing information about their pay or the pay of their co-workers, subject to certain limitations.  EO 11246 applies to contractors</w:t>
      </w:r>
      <w:r w:rsidRPr="00720EE4" w:rsidR="00856CDC">
        <w:rPr>
          <w:color w:val="000000"/>
          <w:sz w:val="24"/>
          <w:szCs w:val="24"/>
        </w:rPr>
        <w:t xml:space="preserve"> </w:t>
      </w:r>
      <w:r w:rsidRPr="00720EE4">
        <w:rPr>
          <w:color w:val="000000"/>
          <w:sz w:val="24"/>
          <w:szCs w:val="24"/>
        </w:rPr>
        <w:t xml:space="preserve">(including federally assisted construction contractors) holding a government contract in excess of $10,000, or government contracts that have, or can reasonably expect to have, an aggregate total value exceeding $10,000 in a 12-month period.  EO 11246 also applies to government </w:t>
      </w:r>
      <w:r w:rsidRPr="00720EE4">
        <w:rPr>
          <w:color w:val="000000"/>
          <w:sz w:val="24"/>
          <w:szCs w:val="24"/>
        </w:rPr>
        <w:lastRenderedPageBreak/>
        <w:t>bills of lading, depositories of federal funds in any amount, and to financial institutions that are issuing and paying agents for U.S. savings bonds and notes in any amount.</w:t>
      </w:r>
    </w:p>
    <w:p w:rsidRPr="00720EE4" w:rsidR="00DE77DA" w:rsidP="00B461F9" w:rsidRDefault="00DE77DA" w14:paraId="5DE08A3B" w14:textId="77777777">
      <w:pPr>
        <w:tabs>
          <w:tab w:val="left" w:pos="-720"/>
          <w:tab w:val="left" w:pos="0"/>
        </w:tabs>
        <w:rPr>
          <w:color w:val="000000"/>
          <w:sz w:val="24"/>
          <w:szCs w:val="24"/>
        </w:rPr>
      </w:pPr>
    </w:p>
    <w:p w:rsidRPr="00720EE4" w:rsidR="00DE77DA" w:rsidP="00B461F9" w:rsidRDefault="00DE77DA" w14:paraId="0A23E9AE" w14:textId="14A4DDCF">
      <w:pPr>
        <w:tabs>
          <w:tab w:val="left" w:pos="-720"/>
          <w:tab w:val="left" w:pos="0"/>
        </w:tabs>
        <w:rPr>
          <w:color w:val="000000"/>
          <w:sz w:val="24"/>
          <w:szCs w:val="24"/>
        </w:rPr>
      </w:pPr>
      <w:r w:rsidRPr="00720EE4">
        <w:rPr>
          <w:color w:val="000000"/>
          <w:sz w:val="24"/>
          <w:szCs w:val="24"/>
        </w:rPr>
        <w:t>Furthermore, EO 1</w:t>
      </w:r>
      <w:r w:rsidRPr="00720EE4" w:rsidR="00EE3081">
        <w:rPr>
          <w:color w:val="000000"/>
          <w:sz w:val="24"/>
          <w:szCs w:val="24"/>
        </w:rPr>
        <w:t>1246 section 202</w:t>
      </w:r>
      <w:r w:rsidRPr="00720EE4">
        <w:rPr>
          <w:color w:val="000000"/>
          <w:sz w:val="24"/>
          <w:szCs w:val="24"/>
        </w:rPr>
        <w:t xml:space="preserve">(6) stipulates </w:t>
      </w:r>
      <w:r w:rsidR="000A0BA5">
        <w:rPr>
          <w:color w:val="000000"/>
          <w:sz w:val="24"/>
          <w:szCs w:val="24"/>
        </w:rPr>
        <w:t xml:space="preserve">that </w:t>
      </w:r>
      <w:r w:rsidRPr="00720EE4">
        <w:rPr>
          <w:color w:val="000000"/>
          <w:sz w:val="24"/>
          <w:szCs w:val="24"/>
        </w:rPr>
        <w:t>contractors</w:t>
      </w:r>
      <w:r w:rsidRPr="00720EE4">
        <w:t xml:space="preserve"> </w:t>
      </w:r>
      <w:r w:rsidRPr="00720EE4">
        <w:rPr>
          <w:color w:val="000000"/>
          <w:sz w:val="24"/>
          <w:szCs w:val="24"/>
        </w:rPr>
        <w:t xml:space="preserve">will furnish all information and reports required by EO 11246 for the Secretary of Labor and will permit access to books, records, and accounts by the contracting agency and the Secretary of Labor for purposes </w:t>
      </w:r>
      <w:r w:rsidR="00C259FD">
        <w:rPr>
          <w:color w:val="000000"/>
          <w:sz w:val="24"/>
          <w:szCs w:val="24"/>
        </w:rPr>
        <w:t xml:space="preserve">of </w:t>
      </w:r>
      <w:r w:rsidRPr="00720EE4">
        <w:rPr>
          <w:color w:val="000000"/>
          <w:sz w:val="24"/>
          <w:szCs w:val="24"/>
        </w:rPr>
        <w:t>investigation</w:t>
      </w:r>
      <w:r w:rsidRPr="00720EE4" w:rsidR="003E346C">
        <w:rPr>
          <w:color w:val="000000"/>
          <w:sz w:val="24"/>
          <w:szCs w:val="24"/>
        </w:rPr>
        <w:t xml:space="preserve"> to ascertain compliance with EO 11246 and its regulations</w:t>
      </w:r>
      <w:r w:rsidRPr="00720EE4">
        <w:rPr>
          <w:color w:val="000000"/>
          <w:sz w:val="24"/>
          <w:szCs w:val="24"/>
        </w:rPr>
        <w:t>.</w:t>
      </w:r>
    </w:p>
    <w:p w:rsidRPr="00720EE4" w:rsidR="00B461F9" w:rsidP="00B461F9" w:rsidRDefault="00B461F9" w14:paraId="1EC86F6F" w14:textId="77777777">
      <w:pPr>
        <w:tabs>
          <w:tab w:val="left" w:pos="-720"/>
          <w:tab w:val="left" w:pos="0"/>
        </w:tabs>
        <w:rPr>
          <w:color w:val="000000"/>
          <w:sz w:val="24"/>
          <w:szCs w:val="24"/>
          <w:u w:val="single"/>
        </w:rPr>
      </w:pPr>
    </w:p>
    <w:p w:rsidRPr="00720EE4" w:rsidR="00B461F9" w:rsidP="001139C5" w:rsidRDefault="00B461F9" w14:paraId="0A67CA26" w14:textId="32C77AD3">
      <w:pPr>
        <w:tabs>
          <w:tab w:val="left" w:pos="-720"/>
          <w:tab w:val="left" w:pos="0"/>
        </w:tabs>
        <w:rPr>
          <w:color w:val="000000"/>
          <w:sz w:val="8"/>
          <w:szCs w:val="8"/>
          <w:u w:val="single"/>
        </w:rPr>
      </w:pPr>
      <w:r w:rsidRPr="00720EE4">
        <w:rPr>
          <w:color w:val="000000"/>
          <w:sz w:val="24"/>
          <w:szCs w:val="24"/>
          <w:u w:val="single"/>
        </w:rPr>
        <w:t>41 CFR Part 60-</w:t>
      </w:r>
      <w:r w:rsidR="00592642">
        <w:rPr>
          <w:color w:val="000000"/>
          <w:sz w:val="24"/>
          <w:szCs w:val="24"/>
          <w:u w:val="single"/>
        </w:rPr>
        <w:t>1 – O</w:t>
      </w:r>
      <w:r w:rsidRPr="00720EE4">
        <w:rPr>
          <w:color w:val="000000"/>
          <w:sz w:val="24"/>
          <w:szCs w:val="24"/>
          <w:u w:val="single"/>
        </w:rPr>
        <w:t>bligations of Contractors and Subcontractors</w:t>
      </w:r>
    </w:p>
    <w:p w:rsidRPr="00720EE4" w:rsidR="00B76191" w:rsidP="001139C5" w:rsidRDefault="00B76191" w14:paraId="4AC2B898" w14:textId="77777777">
      <w:pPr>
        <w:tabs>
          <w:tab w:val="left" w:pos="-720"/>
          <w:tab w:val="left" w:pos="0"/>
        </w:tabs>
        <w:rPr>
          <w:color w:val="000000"/>
          <w:sz w:val="24"/>
          <w:szCs w:val="24"/>
        </w:rPr>
      </w:pPr>
    </w:p>
    <w:p w:rsidRPr="00720EE4" w:rsidR="007D7517" w:rsidP="001139C5" w:rsidRDefault="00B461F9" w14:paraId="2B30802D" w14:textId="77777777">
      <w:pPr>
        <w:tabs>
          <w:tab w:val="left" w:pos="-720"/>
          <w:tab w:val="left" w:pos="0"/>
        </w:tabs>
      </w:pPr>
      <w:r w:rsidRPr="00720EE4">
        <w:rPr>
          <w:color w:val="000000"/>
          <w:sz w:val="24"/>
          <w:szCs w:val="24"/>
        </w:rPr>
        <w:t>This part prescribes the nondiscrimination and general affirmative action requirements under EO 11246 and contains recordkeeping, reporting, and third</w:t>
      </w:r>
      <w:r w:rsidR="009F3CB3">
        <w:rPr>
          <w:color w:val="000000"/>
          <w:sz w:val="24"/>
          <w:szCs w:val="24"/>
        </w:rPr>
        <w:t>-</w:t>
      </w:r>
      <w:r w:rsidRPr="00720EE4">
        <w:rPr>
          <w:color w:val="000000"/>
          <w:sz w:val="24"/>
          <w:szCs w:val="24"/>
        </w:rPr>
        <w:t xml:space="preserve">party disclosure requirements.  </w:t>
      </w:r>
      <w:r w:rsidRPr="00720EE4">
        <w:rPr>
          <w:color w:val="000000"/>
          <w:sz w:val="24"/>
        </w:rPr>
        <w:tab/>
      </w:r>
      <w:r w:rsidRPr="00720EE4">
        <w:rPr>
          <w:color w:val="000000"/>
        </w:rPr>
        <w:tab/>
      </w:r>
    </w:p>
    <w:p w:rsidRPr="00720EE4" w:rsidR="00BE67DF" w:rsidP="00B461F9" w:rsidRDefault="00BE67DF" w14:paraId="7EB219D5" w14:textId="77777777">
      <w:pPr>
        <w:pStyle w:val="Heading4"/>
        <w:spacing w:before="0"/>
        <w:rPr>
          <w:rFonts w:ascii="Times New Roman" w:hAnsi="Times New Roman" w:eastAsia="Times New Roman" w:cs="Times New Roman"/>
          <w:i w:val="0"/>
          <w:iCs w:val="0"/>
          <w:color w:val="000000"/>
          <w:sz w:val="24"/>
          <w:szCs w:val="24"/>
          <w:u w:val="single"/>
        </w:rPr>
      </w:pPr>
    </w:p>
    <w:p w:rsidRPr="00720EE4" w:rsidR="00B461F9" w:rsidP="00B461F9" w:rsidRDefault="00B461F9" w14:paraId="1195F844" w14:textId="77777777">
      <w:pPr>
        <w:pStyle w:val="Heading4"/>
        <w:spacing w:before="0"/>
        <w:rPr>
          <w:rFonts w:ascii="Times New Roman" w:hAnsi="Times New Roman" w:eastAsia="Times New Roman" w:cs="Times New Roman"/>
          <w:i w:val="0"/>
          <w:iCs w:val="0"/>
          <w:color w:val="000000"/>
          <w:sz w:val="24"/>
          <w:szCs w:val="24"/>
          <w:u w:val="single"/>
        </w:rPr>
      </w:pPr>
      <w:r w:rsidRPr="00720EE4">
        <w:rPr>
          <w:rFonts w:ascii="Times New Roman" w:hAnsi="Times New Roman" w:eastAsia="Times New Roman" w:cs="Times New Roman"/>
          <w:i w:val="0"/>
          <w:iCs w:val="0"/>
          <w:color w:val="000000"/>
          <w:sz w:val="24"/>
          <w:szCs w:val="24"/>
          <w:u w:val="single"/>
        </w:rPr>
        <w:t xml:space="preserve">41 CFR Part 60-2 – Affirmative Action Programs </w:t>
      </w:r>
    </w:p>
    <w:p w:rsidRPr="00720EE4" w:rsidR="00B461F9" w:rsidP="00B461F9" w:rsidRDefault="00B461F9" w14:paraId="41621428" w14:textId="77777777">
      <w:pPr>
        <w:tabs>
          <w:tab w:val="left" w:pos="-720"/>
        </w:tabs>
        <w:rPr>
          <w:color w:val="000000"/>
          <w:sz w:val="24"/>
          <w:szCs w:val="24"/>
        </w:rPr>
      </w:pPr>
    </w:p>
    <w:p w:rsidRPr="00720EE4" w:rsidR="00B461F9" w:rsidP="00CC37D3" w:rsidRDefault="00B461F9" w14:paraId="6AAC18FF" w14:textId="77777777">
      <w:pPr>
        <w:pStyle w:val="BodyTextIndent2"/>
        <w:tabs>
          <w:tab w:val="left" w:pos="0"/>
        </w:tabs>
        <w:spacing w:after="0" w:line="240" w:lineRule="auto"/>
        <w:ind w:left="0"/>
        <w:rPr>
          <w:color w:val="000000"/>
          <w:sz w:val="24"/>
          <w:szCs w:val="24"/>
        </w:rPr>
      </w:pPr>
      <w:r w:rsidRPr="00720EE4">
        <w:rPr>
          <w:color w:val="000000"/>
          <w:sz w:val="24"/>
          <w:szCs w:val="24"/>
        </w:rPr>
        <w:t xml:space="preserve">This part prescribes the scope, application, purpose, and contents of AAPs under EO 11246.   </w:t>
      </w:r>
    </w:p>
    <w:p w:rsidRPr="00720EE4" w:rsidR="00013A03" w:rsidP="00CC37D3" w:rsidRDefault="00013A03" w14:paraId="6747E000" w14:textId="77777777">
      <w:pPr>
        <w:pStyle w:val="BodyTextIndent2"/>
        <w:tabs>
          <w:tab w:val="left" w:pos="0"/>
        </w:tabs>
        <w:spacing w:after="0" w:line="240" w:lineRule="auto"/>
        <w:ind w:left="0"/>
        <w:rPr>
          <w:color w:val="000000"/>
          <w:sz w:val="24"/>
          <w:szCs w:val="24"/>
        </w:rPr>
      </w:pPr>
    </w:p>
    <w:p w:rsidRPr="00720EE4" w:rsidR="00013A03" w:rsidP="00013A03" w:rsidRDefault="00013A03" w14:paraId="4B695962" w14:textId="6A0AADAF">
      <w:pPr>
        <w:tabs>
          <w:tab w:val="left" w:pos="-720"/>
          <w:tab w:val="left" w:pos="0"/>
        </w:tabs>
        <w:rPr>
          <w:color w:val="000000"/>
          <w:sz w:val="24"/>
          <w:szCs w:val="24"/>
        </w:rPr>
      </w:pPr>
      <w:r w:rsidRPr="00720EE4">
        <w:rPr>
          <w:color w:val="000000"/>
          <w:sz w:val="24"/>
          <w:szCs w:val="24"/>
        </w:rPr>
        <w:t>Section 60-2.1 requires the development and maintenance of an AAP under EO 11246.  This section requires each non</w:t>
      </w:r>
      <w:r w:rsidRPr="00720EE4" w:rsidR="00EE3081">
        <w:rPr>
          <w:color w:val="000000"/>
          <w:sz w:val="24"/>
          <w:szCs w:val="24"/>
        </w:rPr>
        <w:t>-</w:t>
      </w:r>
      <w:r w:rsidRPr="00720EE4">
        <w:rPr>
          <w:color w:val="000000"/>
          <w:sz w:val="24"/>
          <w:szCs w:val="24"/>
        </w:rPr>
        <w:t xml:space="preserve">construction contractor with 50 or more employees </w:t>
      </w:r>
      <w:r w:rsidRPr="00720EE4" w:rsidR="000A0BA5">
        <w:rPr>
          <w:color w:val="000000"/>
          <w:sz w:val="24"/>
          <w:szCs w:val="24"/>
        </w:rPr>
        <w:t xml:space="preserve">to develop an AAP for each of its establishments </w:t>
      </w:r>
      <w:r w:rsidRPr="00720EE4" w:rsidR="008C5144">
        <w:rPr>
          <w:color w:val="000000"/>
          <w:sz w:val="24"/>
          <w:szCs w:val="24"/>
        </w:rPr>
        <w:t xml:space="preserve">if </w:t>
      </w:r>
      <w:r w:rsidRPr="00720EE4" w:rsidR="001238E6">
        <w:rPr>
          <w:color w:val="000000"/>
          <w:sz w:val="24"/>
          <w:szCs w:val="24"/>
        </w:rPr>
        <w:t>the contractor</w:t>
      </w:r>
      <w:r w:rsidR="000A0BA5">
        <w:rPr>
          <w:color w:val="000000"/>
          <w:sz w:val="24"/>
          <w:szCs w:val="24"/>
        </w:rPr>
        <w:t xml:space="preserve"> </w:t>
      </w:r>
      <w:r w:rsidRPr="00720EE4" w:rsidR="000A0BA5">
        <w:rPr>
          <w:color w:val="000000"/>
          <w:sz w:val="24"/>
          <w:szCs w:val="24"/>
        </w:rPr>
        <w:t xml:space="preserve">meets </w:t>
      </w:r>
      <w:r w:rsidR="000A0BA5">
        <w:rPr>
          <w:color w:val="000000"/>
          <w:sz w:val="24"/>
          <w:szCs w:val="24"/>
        </w:rPr>
        <w:t xml:space="preserve">any of </w:t>
      </w:r>
      <w:r w:rsidRPr="00720EE4" w:rsidR="000A0BA5">
        <w:rPr>
          <w:color w:val="000000"/>
          <w:sz w:val="24"/>
          <w:szCs w:val="24"/>
        </w:rPr>
        <w:t>the following criteria</w:t>
      </w:r>
      <w:r w:rsidRPr="00720EE4">
        <w:rPr>
          <w:color w:val="000000"/>
          <w:sz w:val="24"/>
          <w:szCs w:val="24"/>
        </w:rPr>
        <w:t>:</w:t>
      </w:r>
    </w:p>
    <w:p w:rsidRPr="00720EE4" w:rsidR="00013A03" w:rsidP="00013A03" w:rsidRDefault="00013A03" w14:paraId="2396E855" w14:textId="77777777">
      <w:pPr>
        <w:tabs>
          <w:tab w:val="left" w:pos="-720"/>
          <w:tab w:val="left" w:pos="0"/>
        </w:tabs>
        <w:rPr>
          <w:color w:val="000000"/>
          <w:sz w:val="24"/>
          <w:szCs w:val="24"/>
        </w:rPr>
      </w:pPr>
    </w:p>
    <w:p w:rsidRPr="00720EE4" w:rsidR="00013A03" w:rsidP="00720EE4" w:rsidRDefault="00013A03" w14:paraId="6F5BD5A6" w14:textId="36B5FA47">
      <w:pPr>
        <w:pStyle w:val="BodyText"/>
        <w:numPr>
          <w:ilvl w:val="0"/>
          <w:numId w:val="25"/>
        </w:numPr>
        <w:tabs>
          <w:tab w:val="left" w:pos="-720"/>
        </w:tabs>
        <w:rPr>
          <w:rFonts w:ascii="Times New Roman" w:hAnsi="Times New Roman"/>
          <w:color w:val="000000"/>
          <w:szCs w:val="24"/>
        </w:rPr>
      </w:pPr>
      <w:r w:rsidRPr="00720EE4">
        <w:rPr>
          <w:rFonts w:ascii="Times New Roman" w:hAnsi="Times New Roman"/>
          <w:color w:val="000000"/>
          <w:szCs w:val="24"/>
        </w:rPr>
        <w:t xml:space="preserve">has a contract of $50,000 or more; </w:t>
      </w:r>
    </w:p>
    <w:p w:rsidRPr="00720EE4" w:rsidR="00013A03" w:rsidP="00720EE4" w:rsidRDefault="00013A03" w14:paraId="31203A2A" w14:textId="7E4F3840">
      <w:pPr>
        <w:pStyle w:val="BodyText"/>
        <w:numPr>
          <w:ilvl w:val="0"/>
          <w:numId w:val="25"/>
        </w:numPr>
        <w:tabs>
          <w:tab w:val="left" w:pos="-720"/>
        </w:tabs>
        <w:rPr>
          <w:rFonts w:ascii="Times New Roman" w:hAnsi="Times New Roman"/>
          <w:color w:val="000000"/>
          <w:szCs w:val="24"/>
        </w:rPr>
      </w:pPr>
      <w:r w:rsidRPr="00720EE4">
        <w:rPr>
          <w:rFonts w:ascii="Times New Roman" w:hAnsi="Times New Roman"/>
          <w:color w:val="000000"/>
          <w:szCs w:val="24"/>
        </w:rPr>
        <w:t xml:space="preserve">has </w:t>
      </w:r>
      <w:r w:rsidR="006212BB">
        <w:rPr>
          <w:rFonts w:ascii="Times New Roman" w:hAnsi="Times New Roman"/>
          <w:color w:val="000000"/>
          <w:szCs w:val="24"/>
        </w:rPr>
        <w:t>government</w:t>
      </w:r>
      <w:r w:rsidRPr="00720EE4" w:rsidR="006212BB">
        <w:rPr>
          <w:rFonts w:ascii="Times New Roman" w:hAnsi="Times New Roman"/>
          <w:color w:val="000000"/>
          <w:szCs w:val="24"/>
        </w:rPr>
        <w:t xml:space="preserve"> </w:t>
      </w:r>
      <w:r w:rsidRPr="00720EE4">
        <w:rPr>
          <w:rFonts w:ascii="Times New Roman" w:hAnsi="Times New Roman"/>
          <w:color w:val="000000"/>
          <w:szCs w:val="24"/>
        </w:rPr>
        <w:t xml:space="preserve">bills of lading which in any 12-month period total or can reasonably be expected to total $50,000 or more; </w:t>
      </w:r>
    </w:p>
    <w:p w:rsidRPr="00720EE4" w:rsidR="00013A03" w:rsidP="00720EE4" w:rsidRDefault="00013A03" w14:paraId="3C6436A6" w14:textId="4145B4E1">
      <w:pPr>
        <w:pStyle w:val="BodyText"/>
        <w:numPr>
          <w:ilvl w:val="0"/>
          <w:numId w:val="25"/>
        </w:numPr>
        <w:tabs>
          <w:tab w:val="left" w:pos="-720"/>
        </w:tabs>
        <w:rPr>
          <w:rFonts w:ascii="Times New Roman" w:hAnsi="Times New Roman"/>
          <w:color w:val="000000"/>
          <w:szCs w:val="24"/>
        </w:rPr>
      </w:pPr>
      <w:r w:rsidRPr="00720EE4">
        <w:rPr>
          <w:rFonts w:ascii="Times New Roman" w:hAnsi="Times New Roman"/>
          <w:color w:val="000000"/>
          <w:szCs w:val="24"/>
        </w:rPr>
        <w:t xml:space="preserve">serves as a depository of </w:t>
      </w:r>
      <w:r w:rsidR="006212BB">
        <w:rPr>
          <w:rFonts w:ascii="Times New Roman" w:hAnsi="Times New Roman"/>
          <w:color w:val="000000"/>
          <w:szCs w:val="24"/>
        </w:rPr>
        <w:t>government</w:t>
      </w:r>
      <w:r w:rsidRPr="00720EE4" w:rsidR="006212BB">
        <w:rPr>
          <w:rFonts w:ascii="Times New Roman" w:hAnsi="Times New Roman"/>
          <w:color w:val="000000"/>
          <w:szCs w:val="24"/>
        </w:rPr>
        <w:t xml:space="preserve"> </w:t>
      </w:r>
      <w:r w:rsidRPr="00720EE4">
        <w:rPr>
          <w:rFonts w:ascii="Times New Roman" w:hAnsi="Times New Roman"/>
          <w:color w:val="000000"/>
          <w:szCs w:val="24"/>
        </w:rPr>
        <w:t>funds in any amount; or</w:t>
      </w:r>
    </w:p>
    <w:p w:rsidRPr="00720EE4" w:rsidR="00013A03" w:rsidP="00720EE4" w:rsidRDefault="00013A03" w14:paraId="6B914C87" w14:textId="77777777">
      <w:pPr>
        <w:pStyle w:val="BodyText"/>
        <w:numPr>
          <w:ilvl w:val="0"/>
          <w:numId w:val="25"/>
        </w:numPr>
        <w:tabs>
          <w:tab w:val="left" w:pos="-720"/>
        </w:tabs>
        <w:rPr>
          <w:rFonts w:ascii="Times New Roman" w:hAnsi="Times New Roman"/>
          <w:color w:val="000000"/>
          <w:szCs w:val="24"/>
        </w:rPr>
      </w:pPr>
      <w:r w:rsidRPr="00720EE4">
        <w:rPr>
          <w:rFonts w:ascii="Times New Roman" w:hAnsi="Times New Roman"/>
          <w:color w:val="000000"/>
          <w:szCs w:val="24"/>
        </w:rPr>
        <w:t xml:space="preserve">is a financial institution that is an issuing and paying agent for U.S. </w:t>
      </w:r>
      <w:r w:rsidRPr="00720EE4" w:rsidR="003A4AF5">
        <w:rPr>
          <w:rFonts w:ascii="Times New Roman" w:hAnsi="Times New Roman"/>
          <w:color w:val="000000"/>
          <w:szCs w:val="24"/>
        </w:rPr>
        <w:t>s</w:t>
      </w:r>
      <w:r w:rsidRPr="00720EE4">
        <w:rPr>
          <w:rFonts w:ascii="Times New Roman" w:hAnsi="Times New Roman"/>
          <w:color w:val="000000"/>
          <w:szCs w:val="24"/>
        </w:rPr>
        <w:t xml:space="preserve">avings </w:t>
      </w:r>
      <w:r w:rsidRPr="00720EE4" w:rsidR="003A4AF5">
        <w:rPr>
          <w:rFonts w:ascii="Times New Roman" w:hAnsi="Times New Roman"/>
          <w:color w:val="000000"/>
          <w:szCs w:val="24"/>
        </w:rPr>
        <w:t>b</w:t>
      </w:r>
      <w:r w:rsidRPr="00720EE4">
        <w:rPr>
          <w:rFonts w:ascii="Times New Roman" w:hAnsi="Times New Roman"/>
          <w:color w:val="000000"/>
          <w:szCs w:val="24"/>
        </w:rPr>
        <w:t xml:space="preserve">onds and savings notes in any </w:t>
      </w:r>
      <w:proofErr w:type="gramStart"/>
      <w:r w:rsidRPr="00720EE4">
        <w:rPr>
          <w:rFonts w:ascii="Times New Roman" w:hAnsi="Times New Roman"/>
          <w:color w:val="000000"/>
          <w:szCs w:val="24"/>
        </w:rPr>
        <w:t>amount.</w:t>
      </w:r>
      <w:proofErr w:type="gramEnd"/>
    </w:p>
    <w:p w:rsidRPr="00720EE4" w:rsidR="00013A03" w:rsidP="00CC37D3" w:rsidRDefault="00013A03" w14:paraId="4031C929" w14:textId="77777777">
      <w:pPr>
        <w:pStyle w:val="BodyTextIndent2"/>
        <w:tabs>
          <w:tab w:val="left" w:pos="0"/>
        </w:tabs>
        <w:spacing w:after="0" w:line="240" w:lineRule="auto"/>
        <w:ind w:left="0"/>
      </w:pPr>
    </w:p>
    <w:p w:rsidRPr="00720EE4" w:rsidR="00927EDA" w:rsidP="00927EDA" w:rsidRDefault="00013A03" w14:paraId="50FEF5F2" w14:textId="77777777">
      <w:pPr>
        <w:tabs>
          <w:tab w:val="left" w:pos="-720"/>
        </w:tabs>
        <w:rPr>
          <w:color w:val="000000"/>
          <w:sz w:val="24"/>
          <w:szCs w:val="24"/>
        </w:rPr>
      </w:pPr>
      <w:r w:rsidRPr="00720EE4">
        <w:rPr>
          <w:color w:val="000000"/>
          <w:sz w:val="24"/>
          <w:szCs w:val="24"/>
        </w:rPr>
        <w:t>Contractors are required to develop AAPs within 120 days from the commencement of a contract and must update the AAPs annually.</w:t>
      </w:r>
    </w:p>
    <w:p w:rsidRPr="00720EE4" w:rsidR="00013A03" w:rsidP="00927EDA" w:rsidRDefault="00013A03" w14:paraId="602E2CC3" w14:textId="77777777">
      <w:pPr>
        <w:tabs>
          <w:tab w:val="left" w:pos="-720"/>
        </w:tabs>
        <w:rPr>
          <w:color w:val="000000"/>
          <w:sz w:val="24"/>
          <w:szCs w:val="24"/>
        </w:rPr>
      </w:pPr>
    </w:p>
    <w:p w:rsidRPr="00720EE4" w:rsidR="00013A03" w:rsidP="008537AE" w:rsidRDefault="00013A03" w14:paraId="66782B99" w14:textId="77777777">
      <w:pPr>
        <w:tabs>
          <w:tab w:val="left" w:pos="-720"/>
        </w:tabs>
        <w:rPr>
          <w:color w:val="000000"/>
          <w:sz w:val="24"/>
          <w:szCs w:val="24"/>
        </w:rPr>
      </w:pPr>
      <w:r w:rsidRPr="00720EE4">
        <w:rPr>
          <w:color w:val="000000"/>
          <w:sz w:val="24"/>
          <w:szCs w:val="24"/>
        </w:rPr>
        <w:t>Section</w:t>
      </w:r>
      <w:r w:rsidRPr="00720EE4" w:rsidR="008537AE">
        <w:rPr>
          <w:color w:val="000000"/>
          <w:sz w:val="24"/>
          <w:szCs w:val="24"/>
        </w:rPr>
        <w:t>s</w:t>
      </w:r>
      <w:r w:rsidRPr="00720EE4">
        <w:rPr>
          <w:color w:val="000000"/>
          <w:sz w:val="24"/>
          <w:szCs w:val="24"/>
        </w:rPr>
        <w:t xml:space="preserve"> 60-2.10 </w:t>
      </w:r>
      <w:r w:rsidRPr="00720EE4" w:rsidR="008537AE">
        <w:rPr>
          <w:color w:val="000000"/>
          <w:sz w:val="24"/>
          <w:szCs w:val="24"/>
        </w:rPr>
        <w:t>and 60-2.32 provide</w:t>
      </w:r>
      <w:r w:rsidRPr="00720EE4">
        <w:rPr>
          <w:color w:val="000000"/>
          <w:sz w:val="24"/>
          <w:szCs w:val="24"/>
        </w:rPr>
        <w:t xml:space="preserve"> that contractors must maintain and make available to OFCCP documentation of their compliance with the </w:t>
      </w:r>
      <w:r w:rsidRPr="00720EE4" w:rsidR="008537AE">
        <w:rPr>
          <w:color w:val="000000"/>
          <w:sz w:val="24"/>
          <w:szCs w:val="24"/>
        </w:rPr>
        <w:t>Executive Order</w:t>
      </w:r>
      <w:r w:rsidRPr="00720EE4" w:rsidR="001C2E9D">
        <w:rPr>
          <w:color w:val="000000"/>
          <w:sz w:val="24"/>
          <w:szCs w:val="24"/>
        </w:rPr>
        <w:t>, including specifically contractors’ AAPs</w:t>
      </w:r>
      <w:r w:rsidRPr="00720EE4" w:rsidR="008537AE">
        <w:rPr>
          <w:color w:val="000000"/>
          <w:sz w:val="24"/>
          <w:szCs w:val="24"/>
        </w:rPr>
        <w:t xml:space="preserve">. </w:t>
      </w:r>
    </w:p>
    <w:p w:rsidRPr="00720EE4" w:rsidR="00013A03" w:rsidP="00927EDA" w:rsidRDefault="00013A03" w14:paraId="2B2D88F7" w14:textId="77777777">
      <w:pPr>
        <w:tabs>
          <w:tab w:val="left" w:pos="-720"/>
        </w:tabs>
        <w:rPr>
          <w:color w:val="000000"/>
          <w:sz w:val="24"/>
          <w:szCs w:val="24"/>
        </w:rPr>
      </w:pPr>
    </w:p>
    <w:p w:rsidRPr="00720EE4" w:rsidR="00927EDA" w:rsidP="00927EDA" w:rsidRDefault="00927EDA" w14:paraId="0CEC334A" w14:textId="77777777">
      <w:pPr>
        <w:tabs>
          <w:tab w:val="left" w:pos="-720"/>
        </w:tabs>
        <w:jc w:val="center"/>
        <w:rPr>
          <w:b/>
          <w:color w:val="000000"/>
          <w:sz w:val="24"/>
          <w:szCs w:val="24"/>
        </w:rPr>
      </w:pPr>
      <w:r w:rsidRPr="00720EE4">
        <w:rPr>
          <w:b/>
          <w:color w:val="000000"/>
          <w:sz w:val="24"/>
          <w:szCs w:val="24"/>
        </w:rPr>
        <w:t>VEVRAA</w:t>
      </w:r>
    </w:p>
    <w:p w:rsidRPr="00720EE4" w:rsidR="00927EDA" w:rsidP="00927EDA" w:rsidRDefault="00927EDA" w14:paraId="5C786344" w14:textId="77777777">
      <w:pPr>
        <w:tabs>
          <w:tab w:val="left" w:pos="-720"/>
        </w:tabs>
        <w:rPr>
          <w:color w:val="000000"/>
          <w:sz w:val="24"/>
          <w:szCs w:val="24"/>
          <w:u w:val="single"/>
        </w:rPr>
      </w:pPr>
    </w:p>
    <w:p w:rsidRPr="00720EE4" w:rsidR="008C4233" w:rsidP="006212BB" w:rsidRDefault="008C4233" w14:paraId="11850930" w14:textId="77777777">
      <w:pPr>
        <w:tabs>
          <w:tab w:val="left" w:pos="-720"/>
        </w:tabs>
        <w:rPr>
          <w:color w:val="000000"/>
          <w:sz w:val="24"/>
        </w:rPr>
      </w:pPr>
      <w:r w:rsidRPr="00720EE4">
        <w:rPr>
          <w:color w:val="000000"/>
          <w:sz w:val="24"/>
        </w:rPr>
        <w:t xml:space="preserve">VEVRAA prohibits contractors from discriminating against protected veterans, namely, disabled veterans, recently separated veterans, active duty wartime or campaign badge veterans, and Armed Forces service medal veterans.  VEVRAA also requires contractors to take affirmative action to employ, and advance in employment, qualified protected </w:t>
      </w:r>
      <w:r w:rsidRPr="00720EE4">
        <w:rPr>
          <w:color w:val="000000"/>
          <w:sz w:val="24"/>
        </w:rPr>
        <w:lastRenderedPageBreak/>
        <w:t>veterans.  Its requirements apply to contractors with a government contract of $150,000 or more.</w:t>
      </w:r>
      <w:r w:rsidRPr="00720EE4">
        <w:rPr>
          <w:color w:val="000000"/>
          <w:sz w:val="24"/>
          <w:vertAlign w:val="superscript"/>
        </w:rPr>
        <w:footnoteReference w:id="7"/>
      </w:r>
    </w:p>
    <w:p w:rsidRPr="00720EE4" w:rsidR="008C4233" w:rsidP="008C4233" w:rsidRDefault="008C4233" w14:paraId="37BE35FA" w14:textId="77777777">
      <w:pPr>
        <w:tabs>
          <w:tab w:val="left" w:pos="-720"/>
        </w:tabs>
        <w:rPr>
          <w:color w:val="000000"/>
          <w:sz w:val="24"/>
          <w:u w:val="single"/>
        </w:rPr>
      </w:pPr>
    </w:p>
    <w:p w:rsidRPr="00720EE4" w:rsidR="008C4233" w:rsidP="008C4233" w:rsidRDefault="008C4233" w14:paraId="172992DC" w14:textId="3BABADC2">
      <w:pPr>
        <w:tabs>
          <w:tab w:val="left" w:pos="-720"/>
        </w:tabs>
        <w:rPr>
          <w:color w:val="000000"/>
          <w:sz w:val="24"/>
          <w:szCs w:val="24"/>
          <w:u w:val="single"/>
        </w:rPr>
      </w:pPr>
      <w:r w:rsidRPr="00720EE4">
        <w:rPr>
          <w:color w:val="000000"/>
          <w:sz w:val="24"/>
          <w:u w:val="single"/>
        </w:rPr>
        <w:t>41 CFR Part 60-300</w:t>
      </w:r>
      <w:r w:rsidR="00592642">
        <w:rPr>
          <w:color w:val="000000"/>
          <w:sz w:val="24"/>
          <w:u w:val="single"/>
        </w:rPr>
        <w:t xml:space="preserve"> – A</w:t>
      </w:r>
      <w:r w:rsidRPr="00720EE4">
        <w:rPr>
          <w:color w:val="000000"/>
          <w:sz w:val="24"/>
          <w:u w:val="single"/>
        </w:rPr>
        <w:t>ffirmative Action and Nondiscrimination Obligations of Federal Contractors and Subcontractors Regarding Disabled Veterans, Recently Separated Veterans, Active Duty Wartime or Campaign Badge Veterans, and Armed Forces Service Medal Veterans</w:t>
      </w:r>
    </w:p>
    <w:p w:rsidRPr="00720EE4" w:rsidR="008C4233" w:rsidP="008C4233" w:rsidRDefault="008C4233" w14:paraId="30F3D000" w14:textId="77777777">
      <w:pPr>
        <w:tabs>
          <w:tab w:val="left" w:pos="-720"/>
          <w:tab w:val="left" w:pos="0"/>
        </w:tabs>
        <w:rPr>
          <w:color w:val="000000"/>
          <w:sz w:val="24"/>
          <w:szCs w:val="24"/>
        </w:rPr>
      </w:pPr>
    </w:p>
    <w:p w:rsidRPr="00720EE4" w:rsidR="008C4233" w:rsidP="008C4233" w:rsidRDefault="008C4233" w14:paraId="147F4DD2" w14:textId="77777777">
      <w:pPr>
        <w:tabs>
          <w:tab w:val="left" w:pos="-720"/>
        </w:tabs>
        <w:rPr>
          <w:color w:val="000000"/>
          <w:sz w:val="24"/>
          <w:szCs w:val="24"/>
        </w:rPr>
      </w:pPr>
      <w:r w:rsidRPr="00720EE4">
        <w:rPr>
          <w:color w:val="000000"/>
          <w:sz w:val="24"/>
          <w:szCs w:val="24"/>
        </w:rPr>
        <w:t xml:space="preserve">This part establishes the nondiscrimination and affirmative action requirements under </w:t>
      </w:r>
      <w:r w:rsidRPr="00720EE4">
        <w:rPr>
          <w:sz w:val="24"/>
          <w:szCs w:val="24"/>
        </w:rPr>
        <w:t xml:space="preserve">VEVRAA.  OFCCP discusses specific sections of this part below. </w:t>
      </w:r>
    </w:p>
    <w:p w:rsidRPr="00720EE4" w:rsidR="008C4233" w:rsidP="008C4233" w:rsidRDefault="008C4233" w14:paraId="72D91F24" w14:textId="77777777">
      <w:pPr>
        <w:tabs>
          <w:tab w:val="left" w:pos="-720"/>
        </w:tabs>
        <w:ind w:left="720"/>
        <w:rPr>
          <w:color w:val="000000"/>
          <w:sz w:val="24"/>
          <w:szCs w:val="24"/>
        </w:rPr>
      </w:pPr>
    </w:p>
    <w:p w:rsidRPr="00720EE4" w:rsidR="008C4233" w:rsidP="008C4233" w:rsidRDefault="008C4233" w14:paraId="0E8CAE94" w14:textId="77777777">
      <w:pPr>
        <w:tabs>
          <w:tab w:val="left" w:pos="-720"/>
        </w:tabs>
        <w:rPr>
          <w:color w:val="000000"/>
          <w:sz w:val="24"/>
          <w:szCs w:val="24"/>
        </w:rPr>
      </w:pPr>
      <w:r w:rsidRPr="00720EE4">
        <w:rPr>
          <w:color w:val="000000"/>
          <w:sz w:val="24"/>
          <w:szCs w:val="24"/>
        </w:rPr>
        <w:t xml:space="preserve">Section 60-300.40 requires </w:t>
      </w:r>
      <w:r w:rsidRPr="00720EE4" w:rsidR="003013B1">
        <w:rPr>
          <w:color w:val="000000"/>
          <w:sz w:val="24"/>
          <w:szCs w:val="24"/>
        </w:rPr>
        <w:t xml:space="preserve">each </w:t>
      </w:r>
      <w:r w:rsidRPr="00720EE4">
        <w:rPr>
          <w:color w:val="000000"/>
          <w:sz w:val="24"/>
          <w:szCs w:val="24"/>
        </w:rPr>
        <w:t xml:space="preserve">contractor with 50 or more employees and </w:t>
      </w:r>
      <w:r w:rsidRPr="00720EE4" w:rsidR="003013B1">
        <w:rPr>
          <w:color w:val="000000"/>
          <w:sz w:val="24"/>
          <w:szCs w:val="24"/>
        </w:rPr>
        <w:t xml:space="preserve">a </w:t>
      </w:r>
      <w:r w:rsidRPr="00720EE4">
        <w:rPr>
          <w:color w:val="000000"/>
          <w:sz w:val="24"/>
          <w:szCs w:val="24"/>
        </w:rPr>
        <w:t>contract of $150,000 or more to develop a VEVRAA AAP</w:t>
      </w:r>
      <w:r w:rsidRPr="00720EE4" w:rsidR="008537AE">
        <w:rPr>
          <w:color w:val="000000"/>
          <w:sz w:val="24"/>
          <w:szCs w:val="24"/>
        </w:rPr>
        <w:t xml:space="preserve"> for each establishment within 120 days of the commencement of a contract</w:t>
      </w:r>
      <w:r w:rsidRPr="00720EE4">
        <w:rPr>
          <w:color w:val="000000"/>
          <w:sz w:val="24"/>
          <w:szCs w:val="24"/>
        </w:rPr>
        <w:t>.</w:t>
      </w:r>
      <w:r w:rsidRPr="00720EE4">
        <w:rPr>
          <w:rStyle w:val="FootnoteReference"/>
          <w:color w:val="000000"/>
          <w:sz w:val="24"/>
          <w:szCs w:val="24"/>
        </w:rPr>
        <w:footnoteReference w:id="8"/>
      </w:r>
      <w:r w:rsidRPr="00720EE4" w:rsidR="008537AE">
        <w:rPr>
          <w:color w:val="000000"/>
          <w:sz w:val="24"/>
          <w:szCs w:val="24"/>
        </w:rPr>
        <w:t xml:space="preserve">  This section also requires contractors to review and update their AAP annually and to submit their AAP to OFCCP upon request.</w:t>
      </w:r>
      <w:r w:rsidRPr="00720EE4" w:rsidR="003E346C">
        <w:rPr>
          <w:rStyle w:val="FootnoteReference"/>
          <w:color w:val="000000"/>
          <w:sz w:val="24"/>
          <w:szCs w:val="24"/>
        </w:rPr>
        <w:footnoteReference w:id="9"/>
      </w:r>
    </w:p>
    <w:p w:rsidRPr="00720EE4" w:rsidR="00050F59" w:rsidP="00241A19" w:rsidRDefault="00050F59" w14:paraId="4612190A" w14:textId="77777777">
      <w:pPr>
        <w:tabs>
          <w:tab w:val="left" w:pos="-720"/>
        </w:tabs>
        <w:rPr>
          <w:color w:val="000000"/>
          <w:sz w:val="24"/>
          <w:szCs w:val="24"/>
        </w:rPr>
      </w:pPr>
    </w:p>
    <w:p w:rsidRPr="00720EE4" w:rsidR="009B2015" w:rsidP="00241A19" w:rsidRDefault="008C4233" w14:paraId="3F577418" w14:textId="77777777">
      <w:pPr>
        <w:tabs>
          <w:tab w:val="left" w:pos="-720"/>
        </w:tabs>
        <w:rPr>
          <w:color w:val="000000"/>
          <w:sz w:val="24"/>
          <w:szCs w:val="24"/>
        </w:rPr>
      </w:pPr>
      <w:r w:rsidRPr="00720EE4">
        <w:rPr>
          <w:color w:val="000000"/>
          <w:sz w:val="24"/>
          <w:szCs w:val="24"/>
        </w:rPr>
        <w:t>Section 60-300.44 identifies the required elements of an AAP</w:t>
      </w:r>
      <w:r w:rsidRPr="00720EE4" w:rsidR="00241A19">
        <w:rPr>
          <w:color w:val="000000"/>
          <w:sz w:val="24"/>
          <w:szCs w:val="24"/>
        </w:rPr>
        <w:t>.</w:t>
      </w:r>
      <w:r w:rsidRPr="00720EE4">
        <w:rPr>
          <w:color w:val="000000"/>
          <w:sz w:val="24"/>
          <w:szCs w:val="24"/>
        </w:rPr>
        <w:t xml:space="preserve"> </w:t>
      </w:r>
    </w:p>
    <w:p w:rsidRPr="00720EE4" w:rsidR="00927EDA" w:rsidP="00EB5631" w:rsidRDefault="00927EDA" w14:paraId="190D7FEF" w14:textId="77777777">
      <w:pPr>
        <w:pStyle w:val="HTMLPreformatted"/>
        <w:rPr>
          <w:rFonts w:ascii="Times New Roman" w:hAnsi="Times New Roman" w:cs="Times New Roman"/>
          <w:sz w:val="24"/>
          <w:szCs w:val="24"/>
        </w:rPr>
      </w:pPr>
    </w:p>
    <w:p w:rsidRPr="00720EE4" w:rsidR="00927EDA" w:rsidP="00927EDA" w:rsidRDefault="00927EDA" w14:paraId="35F1A4AE" w14:textId="77777777">
      <w:pPr>
        <w:tabs>
          <w:tab w:val="left" w:pos="-720"/>
          <w:tab w:val="num" w:pos="1350"/>
        </w:tabs>
        <w:jc w:val="center"/>
        <w:rPr>
          <w:b/>
          <w:color w:val="000000"/>
          <w:sz w:val="24"/>
          <w:szCs w:val="24"/>
        </w:rPr>
      </w:pPr>
      <w:r w:rsidRPr="00720EE4">
        <w:rPr>
          <w:b/>
          <w:color w:val="000000"/>
          <w:sz w:val="24"/>
          <w:szCs w:val="24"/>
        </w:rPr>
        <w:t>Section 503</w:t>
      </w:r>
    </w:p>
    <w:p w:rsidRPr="00720EE4" w:rsidR="00927EDA" w:rsidP="00927EDA" w:rsidRDefault="00927EDA" w14:paraId="12476B2D" w14:textId="77777777">
      <w:pPr>
        <w:tabs>
          <w:tab w:val="left" w:pos="-720"/>
          <w:tab w:val="num" w:pos="1350"/>
        </w:tabs>
        <w:rPr>
          <w:color w:val="000000"/>
          <w:sz w:val="24"/>
          <w:szCs w:val="24"/>
        </w:rPr>
      </w:pPr>
    </w:p>
    <w:p w:rsidRPr="00720EE4" w:rsidR="008C4233" w:rsidP="008C4233" w:rsidRDefault="008C4233" w14:paraId="58E74728" w14:textId="77777777">
      <w:pPr>
        <w:tabs>
          <w:tab w:val="left" w:pos="-720"/>
          <w:tab w:val="num" w:pos="1350"/>
        </w:tabs>
        <w:rPr>
          <w:color w:val="000000"/>
          <w:sz w:val="24"/>
          <w:szCs w:val="24"/>
        </w:rPr>
      </w:pPr>
      <w:r w:rsidRPr="00720EE4">
        <w:rPr>
          <w:color w:val="000000"/>
          <w:sz w:val="24"/>
          <w:szCs w:val="24"/>
        </w:rPr>
        <w:t xml:space="preserve">Section 503 prohibits contractors from discriminating against applicants and employees </w:t>
      </w:r>
      <w:r w:rsidRPr="00720EE4" w:rsidR="00DE24DC">
        <w:rPr>
          <w:color w:val="000000"/>
          <w:sz w:val="24"/>
          <w:szCs w:val="24"/>
        </w:rPr>
        <w:t>based on</w:t>
      </w:r>
      <w:r w:rsidRPr="00720EE4">
        <w:rPr>
          <w:color w:val="000000"/>
          <w:sz w:val="24"/>
          <w:szCs w:val="24"/>
        </w:rPr>
        <w:t xml:space="preserve"> disability and requires contractors to take affirmative action to employ, and advance in employment, qualified individuals with disabilities.  Section 503 applies to contractors with a government contract in excess of $15,000.</w:t>
      </w:r>
      <w:r w:rsidRPr="00720EE4">
        <w:rPr>
          <w:color w:val="000000"/>
          <w:sz w:val="24"/>
          <w:szCs w:val="24"/>
          <w:vertAlign w:val="superscript"/>
        </w:rPr>
        <w:footnoteReference w:id="10"/>
      </w:r>
      <w:r w:rsidRPr="00720EE4">
        <w:rPr>
          <w:color w:val="000000"/>
          <w:sz w:val="24"/>
          <w:szCs w:val="24"/>
        </w:rPr>
        <w:t xml:space="preserve"> </w:t>
      </w:r>
    </w:p>
    <w:p w:rsidRPr="00720EE4" w:rsidR="008C4233" w:rsidP="008C4233" w:rsidRDefault="008C4233" w14:paraId="3BA1B102" w14:textId="77777777">
      <w:pPr>
        <w:tabs>
          <w:tab w:val="left" w:pos="-720"/>
          <w:tab w:val="num" w:pos="1350"/>
        </w:tabs>
        <w:rPr>
          <w:b/>
          <w:color w:val="000000"/>
          <w:sz w:val="24"/>
          <w:szCs w:val="24"/>
        </w:rPr>
      </w:pPr>
    </w:p>
    <w:p w:rsidRPr="00720EE4" w:rsidR="008C4233" w:rsidP="008C4233" w:rsidRDefault="008C4233" w14:paraId="45106DA5" w14:textId="5EEDB9F0">
      <w:pPr>
        <w:tabs>
          <w:tab w:val="left" w:pos="-720"/>
          <w:tab w:val="num" w:pos="1350"/>
        </w:tabs>
        <w:rPr>
          <w:color w:val="000000"/>
          <w:sz w:val="24"/>
          <w:szCs w:val="24"/>
          <w:u w:val="single"/>
        </w:rPr>
      </w:pPr>
      <w:r w:rsidRPr="00720EE4">
        <w:rPr>
          <w:color w:val="000000"/>
          <w:sz w:val="24"/>
          <w:szCs w:val="24"/>
          <w:u w:val="single"/>
        </w:rPr>
        <w:t>41 CFR Part 60-741</w:t>
      </w:r>
      <w:r w:rsidR="00592642">
        <w:rPr>
          <w:color w:val="000000"/>
          <w:sz w:val="24"/>
          <w:szCs w:val="24"/>
          <w:u w:val="single"/>
        </w:rPr>
        <w:t xml:space="preserve"> – A</w:t>
      </w:r>
      <w:r w:rsidRPr="00720EE4">
        <w:rPr>
          <w:color w:val="000000"/>
          <w:sz w:val="24"/>
          <w:szCs w:val="24"/>
          <w:u w:val="single"/>
        </w:rPr>
        <w:t xml:space="preserve">ffirmative Action and Nondiscrimination Obligations of Federal Contractors and Subcontractors Regarding Individuals with Disabilities </w:t>
      </w:r>
    </w:p>
    <w:p w:rsidRPr="00720EE4" w:rsidR="008C4233" w:rsidP="008C4233" w:rsidRDefault="008C4233" w14:paraId="224B3D91" w14:textId="77777777">
      <w:pPr>
        <w:tabs>
          <w:tab w:val="left" w:pos="-720"/>
          <w:tab w:val="num" w:pos="1350"/>
        </w:tabs>
        <w:rPr>
          <w:color w:val="000000"/>
          <w:sz w:val="24"/>
          <w:szCs w:val="24"/>
        </w:rPr>
      </w:pPr>
    </w:p>
    <w:p w:rsidRPr="00720EE4" w:rsidR="008C4233" w:rsidP="008C4233" w:rsidRDefault="008C4233" w14:paraId="3B85A95C" w14:textId="77777777">
      <w:pPr>
        <w:tabs>
          <w:tab w:val="left" w:pos="-720"/>
          <w:tab w:val="num" w:pos="1350"/>
        </w:tabs>
        <w:rPr>
          <w:color w:val="000000"/>
          <w:sz w:val="24"/>
          <w:szCs w:val="24"/>
        </w:rPr>
      </w:pPr>
      <w:r w:rsidRPr="00720EE4">
        <w:rPr>
          <w:color w:val="000000"/>
          <w:sz w:val="24"/>
          <w:szCs w:val="24"/>
        </w:rPr>
        <w:t xml:space="preserve">This part establishes the affirmative action and nondiscrimination obligations under Section 503.  </w:t>
      </w:r>
      <w:r w:rsidRPr="00720EE4">
        <w:rPr>
          <w:sz w:val="24"/>
          <w:szCs w:val="24"/>
        </w:rPr>
        <w:t>OFCCP discusses specific sections of this part below.</w:t>
      </w:r>
    </w:p>
    <w:p w:rsidRPr="00720EE4" w:rsidR="008C4233" w:rsidP="008C4233" w:rsidRDefault="008C4233" w14:paraId="11BF056B" w14:textId="77777777">
      <w:pPr>
        <w:tabs>
          <w:tab w:val="left" w:pos="-720"/>
          <w:tab w:val="num" w:pos="1350"/>
        </w:tabs>
        <w:rPr>
          <w:color w:val="000000"/>
          <w:sz w:val="24"/>
          <w:szCs w:val="24"/>
        </w:rPr>
      </w:pPr>
    </w:p>
    <w:p w:rsidRPr="00720EE4" w:rsidR="008C4233" w:rsidP="008C4233" w:rsidRDefault="008C4233" w14:paraId="683F88ED" w14:textId="77777777">
      <w:pPr>
        <w:tabs>
          <w:tab w:val="left" w:pos="-720"/>
          <w:tab w:val="num" w:pos="1350"/>
        </w:tabs>
        <w:rPr>
          <w:color w:val="000000"/>
          <w:sz w:val="24"/>
          <w:szCs w:val="24"/>
        </w:rPr>
      </w:pPr>
      <w:r w:rsidRPr="00720EE4">
        <w:rPr>
          <w:color w:val="000000"/>
          <w:sz w:val="24"/>
          <w:szCs w:val="24"/>
        </w:rPr>
        <w:t xml:space="preserve">Section 60-741.40 requires </w:t>
      </w:r>
      <w:r w:rsidRPr="00720EE4" w:rsidR="00196560">
        <w:rPr>
          <w:color w:val="000000"/>
          <w:sz w:val="24"/>
          <w:szCs w:val="24"/>
        </w:rPr>
        <w:t xml:space="preserve">each contractor with 50 or more employees and a contract of </w:t>
      </w:r>
      <w:r w:rsidRPr="00720EE4" w:rsidR="005822D6">
        <w:rPr>
          <w:color w:val="000000"/>
          <w:sz w:val="24"/>
          <w:szCs w:val="24"/>
        </w:rPr>
        <w:t xml:space="preserve">$50,000 or more to develop </w:t>
      </w:r>
      <w:r w:rsidRPr="00720EE4">
        <w:rPr>
          <w:color w:val="000000"/>
          <w:sz w:val="24"/>
          <w:szCs w:val="24"/>
        </w:rPr>
        <w:t>a Section 503 AAP</w:t>
      </w:r>
      <w:r w:rsidRPr="00720EE4" w:rsidR="005822D6">
        <w:rPr>
          <w:color w:val="000000"/>
          <w:sz w:val="24"/>
          <w:szCs w:val="24"/>
        </w:rPr>
        <w:t xml:space="preserve"> for each establishment within 120 days of the commencement of a contract</w:t>
      </w:r>
      <w:r w:rsidRPr="00720EE4">
        <w:rPr>
          <w:color w:val="000000"/>
          <w:sz w:val="24"/>
          <w:szCs w:val="24"/>
        </w:rPr>
        <w:t>.</w:t>
      </w:r>
      <w:r w:rsidRPr="00720EE4">
        <w:rPr>
          <w:rStyle w:val="FootnoteReference"/>
          <w:color w:val="000000"/>
          <w:sz w:val="24"/>
          <w:szCs w:val="24"/>
        </w:rPr>
        <w:footnoteReference w:id="11"/>
      </w:r>
      <w:r w:rsidRPr="004B7993">
        <w:rPr>
          <w:color w:val="000000"/>
          <w:sz w:val="24"/>
          <w:szCs w:val="24"/>
        </w:rPr>
        <w:t xml:space="preserve"> </w:t>
      </w:r>
      <w:r w:rsidRPr="004B7993" w:rsidR="005822D6">
        <w:rPr>
          <w:color w:val="000000"/>
          <w:sz w:val="24"/>
          <w:szCs w:val="24"/>
        </w:rPr>
        <w:t xml:space="preserve"> </w:t>
      </w:r>
      <w:r w:rsidRPr="00720EE4" w:rsidR="005822D6">
        <w:rPr>
          <w:color w:val="000000"/>
          <w:sz w:val="24"/>
          <w:szCs w:val="24"/>
        </w:rPr>
        <w:t>This section also requires contractors to review and update their AAP annually and to submit their AAP to OFCCP upon request.</w:t>
      </w:r>
      <w:r w:rsidRPr="00720EE4" w:rsidR="00304A81">
        <w:rPr>
          <w:rStyle w:val="FootnoteReference"/>
          <w:color w:val="000000"/>
          <w:sz w:val="24"/>
          <w:szCs w:val="24"/>
        </w:rPr>
        <w:footnoteReference w:id="12"/>
      </w:r>
    </w:p>
    <w:p w:rsidRPr="00720EE4" w:rsidR="00050F59" w:rsidP="00241A19" w:rsidRDefault="00050F59" w14:paraId="6874C8A2" w14:textId="77777777">
      <w:pPr>
        <w:tabs>
          <w:tab w:val="left" w:pos="-720"/>
        </w:tabs>
        <w:rPr>
          <w:color w:val="000000"/>
          <w:sz w:val="24"/>
          <w:szCs w:val="24"/>
        </w:rPr>
      </w:pPr>
    </w:p>
    <w:p w:rsidRPr="00720EE4" w:rsidR="008C4233" w:rsidP="00241A19" w:rsidRDefault="008C4233" w14:paraId="6341D534" w14:textId="77777777">
      <w:pPr>
        <w:tabs>
          <w:tab w:val="left" w:pos="-720"/>
        </w:tabs>
        <w:rPr>
          <w:color w:val="000000"/>
          <w:sz w:val="24"/>
          <w:szCs w:val="24"/>
        </w:rPr>
      </w:pPr>
      <w:r w:rsidRPr="00720EE4">
        <w:rPr>
          <w:color w:val="000000"/>
          <w:sz w:val="24"/>
          <w:szCs w:val="24"/>
        </w:rPr>
        <w:lastRenderedPageBreak/>
        <w:t>Section 60-741.44 identifies the required elements of an AAP</w:t>
      </w:r>
      <w:r w:rsidRPr="00720EE4" w:rsidR="00241A19">
        <w:rPr>
          <w:color w:val="000000"/>
          <w:sz w:val="24"/>
          <w:szCs w:val="24"/>
        </w:rPr>
        <w:t>.</w:t>
      </w:r>
    </w:p>
    <w:p w:rsidRPr="00720EE4" w:rsidR="00050F59" w:rsidP="00EB5631" w:rsidRDefault="00050F59" w14:paraId="6F9D0A5F" w14:textId="77777777">
      <w:pPr>
        <w:pStyle w:val="HTMLPreformatted"/>
        <w:rPr>
          <w:rFonts w:ascii="Times New Roman" w:hAnsi="Times New Roman" w:cs="Times New Roman"/>
          <w:sz w:val="24"/>
          <w:szCs w:val="24"/>
        </w:rPr>
      </w:pPr>
    </w:p>
    <w:p w:rsidRPr="00720EE4" w:rsidR="002E51ED" w:rsidP="00720EE4" w:rsidRDefault="00D85A8F" w14:paraId="76A3E096" w14:textId="77777777">
      <w:pPr>
        <w:keepNext/>
        <w:rPr>
          <w:b/>
          <w:sz w:val="24"/>
          <w:szCs w:val="24"/>
        </w:rPr>
      </w:pPr>
      <w:r w:rsidRPr="00720EE4">
        <w:rPr>
          <w:b/>
          <w:sz w:val="24"/>
          <w:szCs w:val="24"/>
          <w:u w:val="single"/>
        </w:rPr>
        <w:t>Platform Interface</w:t>
      </w:r>
    </w:p>
    <w:p w:rsidRPr="00720EE4" w:rsidR="001913C9" w:rsidP="00720EE4" w:rsidRDefault="001913C9" w14:paraId="07EBC0EC" w14:textId="77777777">
      <w:pPr>
        <w:keepNext/>
        <w:rPr>
          <w:sz w:val="24"/>
          <w:szCs w:val="24"/>
        </w:rPr>
      </w:pPr>
    </w:p>
    <w:p w:rsidRPr="00720EE4" w:rsidR="002E51ED" w:rsidP="00720EE4" w:rsidRDefault="00ED2FCC" w14:paraId="7A54DCE5" w14:textId="797A5A3D">
      <w:pPr>
        <w:keepNext/>
        <w:rPr>
          <w:sz w:val="24"/>
          <w:szCs w:val="24"/>
        </w:rPr>
      </w:pPr>
      <w:r>
        <w:rPr>
          <w:sz w:val="24"/>
          <w:szCs w:val="24"/>
        </w:rPr>
        <w:t>AAP-VI</w:t>
      </w:r>
      <w:r w:rsidRPr="00720EE4" w:rsidR="002E51ED">
        <w:rPr>
          <w:sz w:val="24"/>
          <w:szCs w:val="24"/>
        </w:rPr>
        <w:t xml:space="preserve"> will consist of</w:t>
      </w:r>
      <w:r w:rsidRPr="00720EE4" w:rsidR="005B4BBB">
        <w:rPr>
          <w:sz w:val="24"/>
          <w:szCs w:val="24"/>
        </w:rPr>
        <w:t xml:space="preserve"> </w:t>
      </w:r>
      <w:r w:rsidRPr="00720EE4" w:rsidR="005644EA">
        <w:rPr>
          <w:sz w:val="24"/>
          <w:szCs w:val="24"/>
        </w:rPr>
        <w:t>f</w:t>
      </w:r>
      <w:r w:rsidRPr="00720EE4" w:rsidR="00FD34DD">
        <w:rPr>
          <w:sz w:val="24"/>
          <w:szCs w:val="24"/>
        </w:rPr>
        <w:t xml:space="preserve">ive </w:t>
      </w:r>
      <w:r w:rsidRPr="00720EE4" w:rsidR="002E51ED">
        <w:rPr>
          <w:sz w:val="24"/>
          <w:szCs w:val="24"/>
        </w:rPr>
        <w:t xml:space="preserve">user interface </w:t>
      </w:r>
      <w:r w:rsidRPr="00720EE4" w:rsidR="002D1581">
        <w:rPr>
          <w:sz w:val="24"/>
          <w:szCs w:val="24"/>
        </w:rPr>
        <w:t>sections</w:t>
      </w:r>
      <w:r w:rsidRPr="00720EE4" w:rsidR="005644EA">
        <w:rPr>
          <w:sz w:val="24"/>
          <w:szCs w:val="24"/>
        </w:rPr>
        <w:t xml:space="preserve">. </w:t>
      </w:r>
      <w:r w:rsidRPr="00720EE4" w:rsidR="00EE3081">
        <w:rPr>
          <w:sz w:val="24"/>
          <w:szCs w:val="24"/>
        </w:rPr>
        <w:t xml:space="preserve"> </w:t>
      </w:r>
      <w:r w:rsidRPr="00720EE4" w:rsidR="005644EA">
        <w:rPr>
          <w:sz w:val="24"/>
          <w:szCs w:val="24"/>
        </w:rPr>
        <w:t>OFCCP will send an email invitation to every known federal contractor</w:t>
      </w:r>
      <w:r w:rsidR="00441D7A">
        <w:rPr>
          <w:sz w:val="24"/>
          <w:szCs w:val="24"/>
        </w:rPr>
        <w:t xml:space="preserve"> establishment</w:t>
      </w:r>
      <w:r w:rsidRPr="00720EE4" w:rsidR="005644EA">
        <w:rPr>
          <w:sz w:val="24"/>
          <w:szCs w:val="24"/>
        </w:rPr>
        <w:t xml:space="preserve"> </w:t>
      </w:r>
      <w:r w:rsidR="00E12DA7">
        <w:rPr>
          <w:sz w:val="24"/>
          <w:szCs w:val="24"/>
        </w:rPr>
        <w:t>with</w:t>
      </w:r>
      <w:r w:rsidRPr="00720EE4" w:rsidR="005644EA">
        <w:rPr>
          <w:sz w:val="24"/>
          <w:szCs w:val="24"/>
        </w:rPr>
        <w:t xml:space="preserve">in its jurisdiction that meets </w:t>
      </w:r>
      <w:r w:rsidRPr="00720EE4" w:rsidR="005B1038">
        <w:rPr>
          <w:sz w:val="24"/>
          <w:szCs w:val="24"/>
        </w:rPr>
        <w:t xml:space="preserve">its </w:t>
      </w:r>
      <w:r w:rsidRPr="00720EE4" w:rsidR="005644EA">
        <w:rPr>
          <w:sz w:val="24"/>
          <w:szCs w:val="24"/>
        </w:rPr>
        <w:t>AAP submission threshold</w:t>
      </w:r>
      <w:r w:rsidR="00E12DA7">
        <w:rPr>
          <w:sz w:val="24"/>
          <w:szCs w:val="24"/>
        </w:rPr>
        <w:t>s</w:t>
      </w:r>
      <w:r w:rsidRPr="00720EE4" w:rsidR="005644EA">
        <w:rPr>
          <w:sz w:val="24"/>
          <w:szCs w:val="24"/>
        </w:rPr>
        <w:t>.</w:t>
      </w:r>
      <w:r w:rsidR="001C2FE1">
        <w:rPr>
          <w:sz w:val="24"/>
          <w:szCs w:val="24"/>
        </w:rPr>
        <w:t xml:space="preserve">  The agency will also post a notice on its website about the annual certification and </w:t>
      </w:r>
      <w:r w:rsidR="006B5257">
        <w:rPr>
          <w:sz w:val="24"/>
          <w:szCs w:val="24"/>
        </w:rPr>
        <w:t xml:space="preserve">the </w:t>
      </w:r>
      <w:r w:rsidR="001C2FE1">
        <w:rPr>
          <w:sz w:val="24"/>
          <w:szCs w:val="24"/>
        </w:rPr>
        <w:t>AAP submission requirements</w:t>
      </w:r>
      <w:r w:rsidR="006B5257">
        <w:rPr>
          <w:sz w:val="24"/>
          <w:szCs w:val="24"/>
        </w:rPr>
        <w:t xml:space="preserve"> for scheduled contractors</w:t>
      </w:r>
      <w:r w:rsidR="001C2FE1">
        <w:rPr>
          <w:sz w:val="24"/>
          <w:szCs w:val="24"/>
        </w:rPr>
        <w:t>.  The notice will contain AAP-VI registration instructions for contractors and subcontractors, in the event that OFCCP does not have their email address.</w:t>
      </w:r>
      <w:r w:rsidRPr="00720EE4" w:rsidR="005644EA">
        <w:rPr>
          <w:sz w:val="24"/>
          <w:szCs w:val="24"/>
        </w:rPr>
        <w:t xml:space="preserve"> </w:t>
      </w:r>
      <w:r w:rsidRPr="00720EE4" w:rsidR="00DE77DA">
        <w:rPr>
          <w:sz w:val="24"/>
          <w:szCs w:val="24"/>
        </w:rPr>
        <w:t xml:space="preserve"> </w:t>
      </w:r>
      <w:r w:rsidRPr="00720EE4" w:rsidR="005644EA">
        <w:rPr>
          <w:sz w:val="24"/>
          <w:szCs w:val="24"/>
        </w:rPr>
        <w:t xml:space="preserve">The term “users” </w:t>
      </w:r>
      <w:r w:rsidRPr="00720EE4" w:rsidR="00EE3081">
        <w:rPr>
          <w:sz w:val="24"/>
          <w:szCs w:val="24"/>
        </w:rPr>
        <w:t xml:space="preserve">in this section </w:t>
      </w:r>
      <w:r w:rsidRPr="00720EE4" w:rsidR="005644EA">
        <w:rPr>
          <w:sz w:val="24"/>
          <w:szCs w:val="24"/>
        </w:rPr>
        <w:t>refers to designated</w:t>
      </w:r>
      <w:r w:rsidRPr="00720EE4" w:rsidR="007B31A7">
        <w:rPr>
          <w:sz w:val="24"/>
          <w:szCs w:val="24"/>
        </w:rPr>
        <w:t xml:space="preserve"> employees at each federal </w:t>
      </w:r>
      <w:r w:rsidRPr="00720EE4" w:rsidR="0094192A">
        <w:rPr>
          <w:sz w:val="24"/>
          <w:szCs w:val="24"/>
        </w:rPr>
        <w:t>contractor</w:t>
      </w:r>
      <w:r w:rsidR="007765FB">
        <w:rPr>
          <w:sz w:val="24"/>
          <w:szCs w:val="24"/>
        </w:rPr>
        <w:t>’s</w:t>
      </w:r>
      <w:r w:rsidRPr="00720EE4" w:rsidR="0094192A">
        <w:rPr>
          <w:sz w:val="24"/>
          <w:szCs w:val="24"/>
        </w:rPr>
        <w:t xml:space="preserve"> headquarters or establishment </w:t>
      </w:r>
      <w:r w:rsidRPr="00720EE4" w:rsidR="00DE77DA">
        <w:rPr>
          <w:sz w:val="24"/>
          <w:szCs w:val="24"/>
        </w:rPr>
        <w:t xml:space="preserve">who </w:t>
      </w:r>
      <w:r w:rsidRPr="00720EE4" w:rsidR="00EE3081">
        <w:rPr>
          <w:sz w:val="24"/>
          <w:szCs w:val="24"/>
        </w:rPr>
        <w:t>are</w:t>
      </w:r>
      <w:r w:rsidRPr="00720EE4" w:rsidR="00DE77DA">
        <w:rPr>
          <w:sz w:val="24"/>
          <w:szCs w:val="24"/>
        </w:rPr>
        <w:t xml:space="preserve"> tasked with </w:t>
      </w:r>
      <w:r w:rsidRPr="00720EE4" w:rsidR="0094192A">
        <w:rPr>
          <w:sz w:val="24"/>
          <w:szCs w:val="24"/>
        </w:rPr>
        <w:t>A</w:t>
      </w:r>
      <w:r w:rsidRPr="00720EE4" w:rsidR="00B0640C">
        <w:rPr>
          <w:sz w:val="24"/>
          <w:szCs w:val="24"/>
        </w:rPr>
        <w:t xml:space="preserve">AP </w:t>
      </w:r>
      <w:r w:rsidRPr="00720EE4" w:rsidR="00DE77DA">
        <w:rPr>
          <w:sz w:val="24"/>
          <w:szCs w:val="24"/>
        </w:rPr>
        <w:t xml:space="preserve">compliance.  OFCCP </w:t>
      </w:r>
      <w:r w:rsidR="007765FB">
        <w:rPr>
          <w:sz w:val="24"/>
          <w:szCs w:val="24"/>
        </w:rPr>
        <w:t>will</w:t>
      </w:r>
      <w:r w:rsidRPr="00720EE4" w:rsidR="007765FB">
        <w:rPr>
          <w:sz w:val="24"/>
          <w:szCs w:val="24"/>
        </w:rPr>
        <w:t xml:space="preserve"> </w:t>
      </w:r>
      <w:r w:rsidRPr="00720EE4" w:rsidR="00DE77DA">
        <w:rPr>
          <w:sz w:val="24"/>
          <w:szCs w:val="24"/>
        </w:rPr>
        <w:t>allow contractors to determine how many users to authorize</w:t>
      </w:r>
      <w:r w:rsidR="007765FB">
        <w:rPr>
          <w:sz w:val="24"/>
          <w:szCs w:val="24"/>
        </w:rPr>
        <w:t xml:space="preserve"> internally</w:t>
      </w:r>
      <w:r w:rsidRPr="00720EE4" w:rsidR="00DE77DA">
        <w:rPr>
          <w:sz w:val="24"/>
          <w:szCs w:val="24"/>
        </w:rPr>
        <w:t xml:space="preserve"> to access </w:t>
      </w:r>
      <w:r>
        <w:rPr>
          <w:sz w:val="24"/>
          <w:szCs w:val="24"/>
        </w:rPr>
        <w:t>AAP-VI</w:t>
      </w:r>
      <w:r w:rsidRPr="00720EE4" w:rsidR="00DE77DA">
        <w:rPr>
          <w:sz w:val="24"/>
          <w:szCs w:val="24"/>
        </w:rPr>
        <w:t xml:space="preserve"> based on their unique company structure.</w:t>
      </w:r>
      <w:r w:rsidRPr="00720EE4" w:rsidR="00C85FEC">
        <w:rPr>
          <w:sz w:val="24"/>
          <w:szCs w:val="24"/>
        </w:rPr>
        <w:t xml:space="preserve"> </w:t>
      </w:r>
      <w:r w:rsidR="00592642">
        <w:rPr>
          <w:sz w:val="24"/>
          <w:szCs w:val="24"/>
        </w:rPr>
        <w:t xml:space="preserve"> </w:t>
      </w:r>
      <w:r w:rsidRPr="00720EE4" w:rsidR="005644EA">
        <w:rPr>
          <w:sz w:val="24"/>
          <w:szCs w:val="24"/>
        </w:rPr>
        <w:t>The five user interface sections</w:t>
      </w:r>
      <w:r w:rsidRPr="00720EE4" w:rsidR="002E51ED">
        <w:rPr>
          <w:sz w:val="24"/>
          <w:szCs w:val="24"/>
        </w:rPr>
        <w:t xml:space="preserve"> </w:t>
      </w:r>
      <w:r w:rsidRPr="00720EE4" w:rsidR="005B1038">
        <w:rPr>
          <w:sz w:val="24"/>
          <w:szCs w:val="24"/>
        </w:rPr>
        <w:t>include the following</w:t>
      </w:r>
      <w:r w:rsidRPr="00720EE4" w:rsidR="005B4BBB">
        <w:rPr>
          <w:sz w:val="24"/>
          <w:szCs w:val="24"/>
        </w:rPr>
        <w:t>:</w:t>
      </w:r>
    </w:p>
    <w:p w:rsidRPr="00720EE4" w:rsidR="005B4BBB" w:rsidP="002E51ED" w:rsidRDefault="005B4BBB" w14:paraId="24AB421E" w14:textId="77777777">
      <w:pPr>
        <w:rPr>
          <w:sz w:val="24"/>
          <w:szCs w:val="24"/>
        </w:rPr>
      </w:pPr>
    </w:p>
    <w:p w:rsidRPr="00720EE4" w:rsidR="00FD34DD" w:rsidP="002E51ED" w:rsidRDefault="00FD34DD" w14:paraId="5914355D" w14:textId="163242AD">
      <w:pPr>
        <w:pStyle w:val="ListParagraph"/>
        <w:numPr>
          <w:ilvl w:val="0"/>
          <w:numId w:val="10"/>
        </w:numPr>
        <w:rPr>
          <w:sz w:val="24"/>
          <w:szCs w:val="24"/>
        </w:rPr>
      </w:pPr>
      <w:r w:rsidRPr="00720EE4">
        <w:rPr>
          <w:sz w:val="24"/>
          <w:szCs w:val="24"/>
        </w:rPr>
        <w:t>Login.gov</w:t>
      </w:r>
      <w:r w:rsidR="007A7A3D">
        <w:rPr>
          <w:sz w:val="24"/>
          <w:szCs w:val="24"/>
        </w:rPr>
        <w:t>;</w:t>
      </w:r>
    </w:p>
    <w:p w:rsidRPr="00720EE4" w:rsidR="002E51ED" w:rsidP="002E51ED" w:rsidRDefault="00F1330F" w14:paraId="77502106" w14:textId="7583814D">
      <w:pPr>
        <w:pStyle w:val="ListParagraph"/>
        <w:numPr>
          <w:ilvl w:val="0"/>
          <w:numId w:val="10"/>
        </w:numPr>
        <w:rPr>
          <w:sz w:val="24"/>
          <w:szCs w:val="24"/>
        </w:rPr>
      </w:pPr>
      <w:r w:rsidRPr="00720EE4">
        <w:rPr>
          <w:sz w:val="24"/>
          <w:szCs w:val="24"/>
        </w:rPr>
        <w:t>Contractor Verification</w:t>
      </w:r>
      <w:r w:rsidR="007A7A3D">
        <w:rPr>
          <w:sz w:val="24"/>
          <w:szCs w:val="24"/>
        </w:rPr>
        <w:t>;</w:t>
      </w:r>
    </w:p>
    <w:p w:rsidRPr="00720EE4" w:rsidR="002E51ED" w:rsidP="00181708" w:rsidRDefault="00F1330F" w14:paraId="580FE721" w14:textId="21DB412A">
      <w:pPr>
        <w:pStyle w:val="ListParagraph"/>
        <w:numPr>
          <w:ilvl w:val="0"/>
          <w:numId w:val="10"/>
        </w:numPr>
        <w:rPr>
          <w:sz w:val="24"/>
          <w:szCs w:val="24"/>
        </w:rPr>
      </w:pPr>
      <w:r w:rsidRPr="00720EE4">
        <w:rPr>
          <w:sz w:val="24"/>
          <w:szCs w:val="24"/>
        </w:rPr>
        <w:t>Account Profile</w:t>
      </w:r>
      <w:r w:rsidR="007A7A3D">
        <w:rPr>
          <w:sz w:val="24"/>
          <w:szCs w:val="24"/>
        </w:rPr>
        <w:t>;</w:t>
      </w:r>
    </w:p>
    <w:p w:rsidRPr="00720EE4" w:rsidR="002C099B" w:rsidP="00EB5631" w:rsidRDefault="00181708" w14:paraId="7522B1E1" w14:textId="7F9ADD0C">
      <w:pPr>
        <w:pStyle w:val="ListParagraph"/>
        <w:numPr>
          <w:ilvl w:val="0"/>
          <w:numId w:val="10"/>
        </w:numPr>
        <w:rPr>
          <w:sz w:val="24"/>
          <w:szCs w:val="24"/>
        </w:rPr>
      </w:pPr>
      <w:r w:rsidRPr="00720EE4">
        <w:rPr>
          <w:sz w:val="24"/>
          <w:szCs w:val="24"/>
        </w:rPr>
        <w:t xml:space="preserve">AAP </w:t>
      </w:r>
      <w:r w:rsidRPr="00720EE4" w:rsidR="002E51ED">
        <w:rPr>
          <w:sz w:val="24"/>
          <w:szCs w:val="24"/>
        </w:rPr>
        <w:t>Upload</w:t>
      </w:r>
      <w:r w:rsidR="007A7A3D">
        <w:rPr>
          <w:sz w:val="24"/>
          <w:szCs w:val="24"/>
        </w:rPr>
        <w:t>; and</w:t>
      </w:r>
    </w:p>
    <w:p w:rsidRPr="00720EE4" w:rsidR="002C099B" w:rsidP="002C099B" w:rsidRDefault="006B5257" w14:paraId="4F0EFD39" w14:textId="7CC9E4CE">
      <w:pPr>
        <w:pStyle w:val="ListParagraph"/>
        <w:numPr>
          <w:ilvl w:val="0"/>
          <w:numId w:val="10"/>
        </w:numPr>
        <w:rPr>
          <w:sz w:val="24"/>
          <w:szCs w:val="24"/>
        </w:rPr>
      </w:pPr>
      <w:r>
        <w:rPr>
          <w:sz w:val="24"/>
          <w:szCs w:val="24"/>
        </w:rPr>
        <w:t>Annual Certification</w:t>
      </w:r>
      <w:r w:rsidR="007A7A3D">
        <w:rPr>
          <w:sz w:val="24"/>
          <w:szCs w:val="24"/>
        </w:rPr>
        <w:t>.</w:t>
      </w:r>
    </w:p>
    <w:p w:rsidRPr="00720EE4" w:rsidR="002E51ED" w:rsidP="00EB5631" w:rsidRDefault="002E51ED" w14:paraId="0D15508C" w14:textId="77777777">
      <w:pPr>
        <w:rPr>
          <w:sz w:val="24"/>
          <w:szCs w:val="24"/>
        </w:rPr>
      </w:pPr>
    </w:p>
    <w:p w:rsidRPr="00720EE4" w:rsidR="00FD34DD" w:rsidP="00F1330F" w:rsidRDefault="00FD34DD" w14:paraId="05BFC05D" w14:textId="77777777">
      <w:pPr>
        <w:rPr>
          <w:b/>
          <w:sz w:val="24"/>
          <w:szCs w:val="24"/>
          <w:u w:val="single"/>
        </w:rPr>
      </w:pPr>
      <w:r w:rsidRPr="00720EE4">
        <w:rPr>
          <w:b/>
          <w:sz w:val="24"/>
          <w:szCs w:val="24"/>
          <w:u w:val="single"/>
        </w:rPr>
        <w:t>Login.gov</w:t>
      </w:r>
    </w:p>
    <w:p w:rsidRPr="00720EE4" w:rsidR="00FD34DD" w:rsidP="00FD34DD" w:rsidRDefault="00FD34DD" w14:paraId="2843576D" w14:textId="3B7EDAD3">
      <w:pPr>
        <w:rPr>
          <w:sz w:val="24"/>
          <w:szCs w:val="24"/>
        </w:rPr>
      </w:pPr>
      <w:r w:rsidRPr="00720EE4">
        <w:rPr>
          <w:sz w:val="24"/>
          <w:szCs w:val="24"/>
        </w:rPr>
        <w:t xml:space="preserve">Each designated user will be prompted to log in or create an account via the </w:t>
      </w:r>
      <w:r w:rsidR="006B5257">
        <w:rPr>
          <w:sz w:val="24"/>
          <w:szCs w:val="24"/>
        </w:rPr>
        <w:t>L</w:t>
      </w:r>
      <w:r w:rsidRPr="00720EE4" w:rsidR="006B5257">
        <w:rPr>
          <w:sz w:val="24"/>
          <w:szCs w:val="24"/>
        </w:rPr>
        <w:t>ogin</w:t>
      </w:r>
      <w:r w:rsidRPr="00720EE4">
        <w:rPr>
          <w:sz w:val="24"/>
          <w:szCs w:val="24"/>
        </w:rPr>
        <w:t xml:space="preserve">.gov connection within the </w:t>
      </w:r>
      <w:r w:rsidR="00ED2FCC">
        <w:rPr>
          <w:sz w:val="24"/>
          <w:szCs w:val="24"/>
        </w:rPr>
        <w:t>AAP-VI</w:t>
      </w:r>
      <w:r w:rsidRPr="00720EE4">
        <w:rPr>
          <w:sz w:val="24"/>
          <w:szCs w:val="24"/>
        </w:rPr>
        <w:t xml:space="preserve"> </w:t>
      </w:r>
      <w:r w:rsidR="003D7B9E">
        <w:rPr>
          <w:sz w:val="24"/>
          <w:szCs w:val="24"/>
        </w:rPr>
        <w:t>s</w:t>
      </w:r>
      <w:r w:rsidRPr="00720EE4" w:rsidR="003D7B9E">
        <w:rPr>
          <w:sz w:val="24"/>
          <w:szCs w:val="24"/>
        </w:rPr>
        <w:t>ystem</w:t>
      </w:r>
      <w:r w:rsidRPr="00720EE4">
        <w:rPr>
          <w:sz w:val="24"/>
          <w:szCs w:val="24"/>
        </w:rPr>
        <w:t xml:space="preserve">. </w:t>
      </w:r>
      <w:r w:rsidRPr="00720EE4" w:rsidR="005B1038">
        <w:rPr>
          <w:sz w:val="24"/>
          <w:szCs w:val="24"/>
        </w:rPr>
        <w:t xml:space="preserve"> </w:t>
      </w:r>
      <w:r w:rsidRPr="00720EE4">
        <w:rPr>
          <w:sz w:val="24"/>
          <w:szCs w:val="24"/>
        </w:rPr>
        <w:t xml:space="preserve">The designated user will be granted access to the </w:t>
      </w:r>
      <w:r w:rsidR="00ED2FCC">
        <w:rPr>
          <w:sz w:val="24"/>
          <w:szCs w:val="24"/>
        </w:rPr>
        <w:t>AAP-VI</w:t>
      </w:r>
      <w:r w:rsidRPr="00720EE4">
        <w:rPr>
          <w:sz w:val="24"/>
          <w:szCs w:val="24"/>
        </w:rPr>
        <w:t xml:space="preserve"> </w:t>
      </w:r>
      <w:r w:rsidR="006B5257">
        <w:rPr>
          <w:sz w:val="24"/>
          <w:szCs w:val="24"/>
        </w:rPr>
        <w:t>s</w:t>
      </w:r>
      <w:r w:rsidRPr="00720EE4" w:rsidR="006B5257">
        <w:rPr>
          <w:sz w:val="24"/>
          <w:szCs w:val="24"/>
        </w:rPr>
        <w:t xml:space="preserve">ystem </w:t>
      </w:r>
      <w:r w:rsidRPr="00720EE4">
        <w:rPr>
          <w:sz w:val="24"/>
          <w:szCs w:val="24"/>
        </w:rPr>
        <w:t xml:space="preserve">once </w:t>
      </w:r>
      <w:r w:rsidR="006B5257">
        <w:rPr>
          <w:sz w:val="24"/>
          <w:szCs w:val="24"/>
        </w:rPr>
        <w:t>L</w:t>
      </w:r>
      <w:r w:rsidRPr="00720EE4">
        <w:rPr>
          <w:sz w:val="24"/>
          <w:szCs w:val="24"/>
        </w:rPr>
        <w:t>ogin.gov has validated the user through its two-factor authentication process.</w:t>
      </w:r>
    </w:p>
    <w:p w:rsidRPr="00720EE4" w:rsidR="00FD34DD" w:rsidP="00F1330F" w:rsidRDefault="00FD34DD" w14:paraId="3A7DA772" w14:textId="77777777">
      <w:pPr>
        <w:rPr>
          <w:b/>
          <w:sz w:val="24"/>
          <w:szCs w:val="24"/>
          <w:u w:val="single"/>
        </w:rPr>
      </w:pPr>
    </w:p>
    <w:p w:rsidRPr="00720EE4" w:rsidR="00F1330F" w:rsidP="001139C5" w:rsidRDefault="00F1330F" w14:paraId="018D98C2" w14:textId="77777777">
      <w:pPr>
        <w:keepNext/>
        <w:rPr>
          <w:b/>
          <w:sz w:val="24"/>
          <w:szCs w:val="24"/>
          <w:u w:val="single"/>
        </w:rPr>
      </w:pPr>
      <w:r w:rsidRPr="00720EE4">
        <w:rPr>
          <w:b/>
          <w:sz w:val="24"/>
          <w:szCs w:val="24"/>
          <w:u w:val="single"/>
        </w:rPr>
        <w:t>Contractor Verification</w:t>
      </w:r>
    </w:p>
    <w:p w:rsidRPr="00720EE4" w:rsidR="002E51ED" w:rsidP="005B1038" w:rsidRDefault="00F1330F" w14:paraId="302A03DF" w14:textId="54EFCAA3">
      <w:pPr>
        <w:keepNext/>
        <w:rPr>
          <w:sz w:val="24"/>
          <w:szCs w:val="24"/>
        </w:rPr>
      </w:pPr>
      <w:r w:rsidRPr="00720EE4">
        <w:rPr>
          <w:sz w:val="24"/>
          <w:szCs w:val="24"/>
        </w:rPr>
        <w:t>After opening the link</w:t>
      </w:r>
      <w:r w:rsidRPr="00720EE4" w:rsidR="00B76191">
        <w:rPr>
          <w:sz w:val="24"/>
          <w:szCs w:val="24"/>
        </w:rPr>
        <w:t xml:space="preserve"> in the aforementioned email</w:t>
      </w:r>
      <w:r w:rsidRPr="00720EE4">
        <w:rPr>
          <w:sz w:val="24"/>
          <w:szCs w:val="24"/>
        </w:rPr>
        <w:t xml:space="preserve">, contractors will </w:t>
      </w:r>
      <w:r w:rsidRPr="00720EE4" w:rsidR="005644EA">
        <w:rPr>
          <w:sz w:val="24"/>
          <w:szCs w:val="24"/>
        </w:rPr>
        <w:t xml:space="preserve">log in </w:t>
      </w:r>
      <w:r w:rsidRPr="00720EE4" w:rsidR="00B76191">
        <w:rPr>
          <w:sz w:val="24"/>
          <w:szCs w:val="24"/>
        </w:rPr>
        <w:t>through</w:t>
      </w:r>
      <w:r w:rsidRPr="00720EE4" w:rsidR="005644EA">
        <w:rPr>
          <w:sz w:val="24"/>
          <w:szCs w:val="24"/>
        </w:rPr>
        <w:t xml:space="preserve"> </w:t>
      </w:r>
      <w:r w:rsidR="006B5257">
        <w:rPr>
          <w:sz w:val="24"/>
          <w:szCs w:val="24"/>
        </w:rPr>
        <w:t>L</w:t>
      </w:r>
      <w:r w:rsidRPr="00720EE4" w:rsidR="006B5257">
        <w:rPr>
          <w:sz w:val="24"/>
          <w:szCs w:val="24"/>
        </w:rPr>
        <w:t>ogin</w:t>
      </w:r>
      <w:r w:rsidRPr="00720EE4" w:rsidR="005644EA">
        <w:rPr>
          <w:sz w:val="24"/>
          <w:szCs w:val="24"/>
        </w:rPr>
        <w:t xml:space="preserve">.gov and subsequently authorize their user role. </w:t>
      </w:r>
      <w:r w:rsidRPr="00720EE4" w:rsidR="001F64A5">
        <w:rPr>
          <w:sz w:val="24"/>
          <w:szCs w:val="24"/>
        </w:rPr>
        <w:t xml:space="preserve"> </w:t>
      </w:r>
      <w:r w:rsidRPr="00720EE4" w:rsidR="00B0640C">
        <w:rPr>
          <w:sz w:val="24"/>
          <w:szCs w:val="24"/>
        </w:rPr>
        <w:t>The system will confirm a</w:t>
      </w:r>
      <w:r w:rsidRPr="00720EE4" w:rsidR="005644EA">
        <w:rPr>
          <w:sz w:val="24"/>
          <w:szCs w:val="24"/>
        </w:rPr>
        <w:t xml:space="preserve">uthorization once users enter their unique company identifier, which will be confirmed against </w:t>
      </w:r>
      <w:r w:rsidR="00ED2FCC">
        <w:rPr>
          <w:sz w:val="24"/>
          <w:szCs w:val="24"/>
        </w:rPr>
        <w:t>AAP-VI</w:t>
      </w:r>
      <w:r w:rsidRPr="00720EE4" w:rsidR="005644EA">
        <w:rPr>
          <w:sz w:val="24"/>
          <w:szCs w:val="24"/>
        </w:rPr>
        <w:t xml:space="preserve"> </w:t>
      </w:r>
      <w:r w:rsidR="006B5257">
        <w:rPr>
          <w:sz w:val="24"/>
          <w:szCs w:val="24"/>
        </w:rPr>
        <w:t>d</w:t>
      </w:r>
      <w:r w:rsidRPr="00720EE4" w:rsidR="006B5257">
        <w:rPr>
          <w:sz w:val="24"/>
          <w:szCs w:val="24"/>
        </w:rPr>
        <w:t xml:space="preserve">atabase </w:t>
      </w:r>
      <w:r w:rsidRPr="00720EE4" w:rsidR="005644EA">
        <w:rPr>
          <w:sz w:val="24"/>
          <w:szCs w:val="24"/>
        </w:rPr>
        <w:t>records.</w:t>
      </w:r>
      <w:r w:rsidRPr="00720EE4">
        <w:rPr>
          <w:sz w:val="24"/>
          <w:szCs w:val="24"/>
        </w:rPr>
        <w:t xml:space="preserve"> </w:t>
      </w:r>
      <w:r w:rsidRPr="00720EE4" w:rsidR="005644EA">
        <w:rPr>
          <w:sz w:val="24"/>
          <w:szCs w:val="24"/>
        </w:rPr>
        <w:t xml:space="preserve"> Users will also </w:t>
      </w:r>
      <w:r w:rsidRPr="00720EE4" w:rsidR="00B0640C">
        <w:rPr>
          <w:sz w:val="24"/>
          <w:szCs w:val="24"/>
        </w:rPr>
        <w:t>have</w:t>
      </w:r>
      <w:r w:rsidRPr="00720EE4" w:rsidR="005644EA">
        <w:rPr>
          <w:sz w:val="24"/>
          <w:szCs w:val="24"/>
        </w:rPr>
        <w:t xml:space="preserve"> the option to enter the system as a new user, whereby contractor verification is replaced with the creation of a new record</w:t>
      </w:r>
      <w:r w:rsidR="00AC7B2C">
        <w:rPr>
          <w:sz w:val="24"/>
          <w:szCs w:val="24"/>
        </w:rPr>
        <w:t>.</w:t>
      </w:r>
    </w:p>
    <w:p w:rsidRPr="00720EE4" w:rsidR="00D44BED" w:rsidP="00EB5631" w:rsidRDefault="00D44BED" w14:paraId="56E36119" w14:textId="77777777">
      <w:pPr>
        <w:rPr>
          <w:sz w:val="24"/>
          <w:szCs w:val="24"/>
        </w:rPr>
      </w:pPr>
    </w:p>
    <w:p w:rsidRPr="00720EE4" w:rsidR="002E51ED" w:rsidP="00EB5631" w:rsidRDefault="00F1330F" w14:paraId="6C10CE50" w14:textId="77777777">
      <w:pPr>
        <w:rPr>
          <w:b/>
          <w:sz w:val="24"/>
          <w:szCs w:val="24"/>
        </w:rPr>
      </w:pPr>
      <w:r w:rsidRPr="00720EE4">
        <w:rPr>
          <w:b/>
          <w:sz w:val="24"/>
          <w:szCs w:val="24"/>
          <w:u w:val="single"/>
        </w:rPr>
        <w:t>Account Profile</w:t>
      </w:r>
    </w:p>
    <w:p w:rsidRPr="00720EE4" w:rsidR="00384DAC" w:rsidP="005956D5" w:rsidRDefault="005644EA" w14:paraId="5BC7CD7E" w14:textId="77777777">
      <w:pPr>
        <w:rPr>
          <w:sz w:val="24"/>
          <w:szCs w:val="24"/>
        </w:rPr>
      </w:pPr>
      <w:r w:rsidRPr="00720EE4">
        <w:rPr>
          <w:sz w:val="24"/>
          <w:szCs w:val="24"/>
        </w:rPr>
        <w:t>From “Contractor Verification” or from new record creation, u</w:t>
      </w:r>
      <w:r w:rsidRPr="00720EE4" w:rsidR="00E945E7">
        <w:rPr>
          <w:sz w:val="24"/>
          <w:szCs w:val="24"/>
        </w:rPr>
        <w:t xml:space="preserve">sers </w:t>
      </w:r>
      <w:r w:rsidRPr="00720EE4" w:rsidR="00F1330F">
        <w:rPr>
          <w:sz w:val="24"/>
          <w:szCs w:val="24"/>
        </w:rPr>
        <w:t>will confirm the</w:t>
      </w:r>
      <w:r w:rsidRPr="00720EE4" w:rsidR="00E945E7">
        <w:rPr>
          <w:sz w:val="24"/>
          <w:szCs w:val="24"/>
        </w:rPr>
        <w:t>ir</w:t>
      </w:r>
      <w:r w:rsidRPr="00720EE4" w:rsidR="00F1330F">
        <w:rPr>
          <w:sz w:val="24"/>
          <w:szCs w:val="24"/>
        </w:rPr>
        <w:t xml:space="preserve"> </w:t>
      </w:r>
      <w:r w:rsidRPr="00720EE4" w:rsidR="00B3481B">
        <w:rPr>
          <w:sz w:val="24"/>
          <w:szCs w:val="24"/>
        </w:rPr>
        <w:t xml:space="preserve">populated </w:t>
      </w:r>
      <w:r w:rsidRPr="00720EE4" w:rsidR="00F1330F">
        <w:rPr>
          <w:sz w:val="24"/>
          <w:szCs w:val="24"/>
        </w:rPr>
        <w:t>contractor information is correct.</w:t>
      </w:r>
      <w:r w:rsidRPr="00720EE4" w:rsidR="00120324">
        <w:rPr>
          <w:sz w:val="24"/>
          <w:szCs w:val="24"/>
        </w:rPr>
        <w:t xml:space="preserve"> </w:t>
      </w:r>
      <w:r w:rsidRPr="00720EE4" w:rsidR="005B4BBB">
        <w:rPr>
          <w:sz w:val="24"/>
          <w:szCs w:val="24"/>
        </w:rPr>
        <w:t xml:space="preserve"> </w:t>
      </w:r>
      <w:r w:rsidRPr="00720EE4" w:rsidR="00120324">
        <w:rPr>
          <w:sz w:val="24"/>
          <w:szCs w:val="24"/>
        </w:rPr>
        <w:t>The contractor information generally includes EEO-1 information on Establishment Name, Parent Name, Unit Number, Headquarter Number, Establishment Address, Establishment Status, EIN, DUNS, NAICS, Employee Count</w:t>
      </w:r>
      <w:r w:rsidRPr="00720EE4" w:rsidR="00F8371C">
        <w:rPr>
          <w:sz w:val="24"/>
          <w:szCs w:val="24"/>
        </w:rPr>
        <w:t>,</w:t>
      </w:r>
      <w:r w:rsidRPr="00720EE4" w:rsidR="00120324">
        <w:rPr>
          <w:sz w:val="24"/>
          <w:szCs w:val="24"/>
        </w:rPr>
        <w:t xml:space="preserve"> and contact information (Name, Title, Phone, Email).</w:t>
      </w:r>
      <w:r w:rsidRPr="00720EE4" w:rsidR="00F1330F">
        <w:rPr>
          <w:sz w:val="24"/>
          <w:szCs w:val="24"/>
        </w:rPr>
        <w:t xml:space="preserve"> </w:t>
      </w:r>
      <w:r w:rsidRPr="00720EE4" w:rsidR="001265D9">
        <w:rPr>
          <w:sz w:val="24"/>
          <w:szCs w:val="24"/>
        </w:rPr>
        <w:t xml:space="preserve"> </w:t>
      </w:r>
      <w:r w:rsidRPr="00720EE4" w:rsidR="00F1330F">
        <w:rPr>
          <w:sz w:val="24"/>
          <w:szCs w:val="24"/>
        </w:rPr>
        <w:t>Upon confirmation</w:t>
      </w:r>
      <w:r w:rsidRPr="00720EE4" w:rsidR="00120324">
        <w:rPr>
          <w:sz w:val="24"/>
          <w:szCs w:val="24"/>
        </w:rPr>
        <w:t xml:space="preserve"> of this information</w:t>
      </w:r>
      <w:r w:rsidRPr="00720EE4" w:rsidR="00F1330F">
        <w:rPr>
          <w:sz w:val="24"/>
          <w:szCs w:val="24"/>
        </w:rPr>
        <w:t xml:space="preserve">, </w:t>
      </w:r>
      <w:r w:rsidRPr="00720EE4" w:rsidR="00E945E7">
        <w:rPr>
          <w:sz w:val="24"/>
          <w:szCs w:val="24"/>
        </w:rPr>
        <w:t xml:space="preserve">users </w:t>
      </w:r>
      <w:r w:rsidRPr="00720EE4" w:rsidR="00F1330F">
        <w:rPr>
          <w:sz w:val="24"/>
          <w:szCs w:val="24"/>
        </w:rPr>
        <w:t>will be shown a list of their contractor establishments.</w:t>
      </w:r>
      <w:r w:rsidRPr="00720EE4" w:rsidR="00696DD5">
        <w:rPr>
          <w:sz w:val="24"/>
          <w:szCs w:val="24"/>
        </w:rPr>
        <w:t xml:space="preserve"> </w:t>
      </w:r>
    </w:p>
    <w:p w:rsidRPr="00720EE4" w:rsidR="002E51ED" w:rsidP="00120324" w:rsidRDefault="002E51ED" w14:paraId="1B23537C" w14:textId="77777777">
      <w:pPr>
        <w:rPr>
          <w:sz w:val="24"/>
          <w:szCs w:val="24"/>
        </w:rPr>
      </w:pPr>
    </w:p>
    <w:p w:rsidRPr="00720EE4" w:rsidR="00696DD5" w:rsidP="007A7A3D" w:rsidRDefault="001265D9" w14:paraId="3546876D" w14:textId="77777777">
      <w:pPr>
        <w:keepNext/>
        <w:rPr>
          <w:b/>
          <w:sz w:val="24"/>
          <w:szCs w:val="24"/>
        </w:rPr>
      </w:pPr>
      <w:r w:rsidRPr="00720EE4">
        <w:rPr>
          <w:b/>
          <w:sz w:val="24"/>
          <w:szCs w:val="24"/>
          <w:u w:val="single"/>
        </w:rPr>
        <w:lastRenderedPageBreak/>
        <w:t xml:space="preserve">AAP </w:t>
      </w:r>
      <w:r w:rsidRPr="00720EE4" w:rsidR="0026508F">
        <w:rPr>
          <w:b/>
          <w:sz w:val="24"/>
          <w:szCs w:val="24"/>
          <w:u w:val="single"/>
        </w:rPr>
        <w:t xml:space="preserve">Upload </w:t>
      </w:r>
    </w:p>
    <w:p w:rsidRPr="00720EE4" w:rsidR="00696DD5" w:rsidP="00696DD5" w:rsidRDefault="00AE4537" w14:paraId="6DC63018" w14:textId="2084DAAB">
      <w:pPr>
        <w:rPr>
          <w:sz w:val="24"/>
          <w:szCs w:val="24"/>
        </w:rPr>
      </w:pPr>
      <w:r>
        <w:rPr>
          <w:sz w:val="24"/>
          <w:szCs w:val="24"/>
        </w:rPr>
        <w:t xml:space="preserve">If OFCCP schedules a contractor for </w:t>
      </w:r>
      <w:r w:rsidR="00213440">
        <w:rPr>
          <w:sz w:val="24"/>
          <w:szCs w:val="24"/>
        </w:rPr>
        <w:t>a compliance evaluation</w:t>
      </w:r>
      <w:r>
        <w:rPr>
          <w:sz w:val="24"/>
          <w:szCs w:val="24"/>
        </w:rPr>
        <w:t>, the designated user for that contractor</w:t>
      </w:r>
      <w:r w:rsidR="00213440">
        <w:rPr>
          <w:sz w:val="24"/>
          <w:szCs w:val="24"/>
        </w:rPr>
        <w:t xml:space="preserve"> </w:t>
      </w:r>
      <w:r w:rsidRPr="00720EE4" w:rsidR="00120324">
        <w:rPr>
          <w:sz w:val="24"/>
          <w:szCs w:val="24"/>
        </w:rPr>
        <w:t xml:space="preserve">will select </w:t>
      </w:r>
      <w:r w:rsidR="00C051CA">
        <w:rPr>
          <w:sz w:val="24"/>
          <w:szCs w:val="24"/>
        </w:rPr>
        <w:t>the</w:t>
      </w:r>
      <w:r w:rsidRPr="00720EE4" w:rsidR="00C051CA">
        <w:rPr>
          <w:sz w:val="24"/>
          <w:szCs w:val="24"/>
        </w:rPr>
        <w:t xml:space="preserve"> </w:t>
      </w:r>
      <w:r>
        <w:rPr>
          <w:sz w:val="24"/>
          <w:szCs w:val="24"/>
        </w:rPr>
        <w:t xml:space="preserve">scheduled </w:t>
      </w:r>
      <w:r w:rsidRPr="00720EE4" w:rsidR="00120324">
        <w:rPr>
          <w:sz w:val="24"/>
          <w:szCs w:val="24"/>
        </w:rPr>
        <w:t>establishment</w:t>
      </w:r>
      <w:r w:rsidR="00C051CA">
        <w:rPr>
          <w:sz w:val="24"/>
          <w:szCs w:val="24"/>
        </w:rPr>
        <w:t>(s)</w:t>
      </w:r>
      <w:r w:rsidR="002818D2">
        <w:rPr>
          <w:sz w:val="24"/>
          <w:szCs w:val="24"/>
        </w:rPr>
        <w:t>, functional business unit, or corporate headquarters</w:t>
      </w:r>
      <w:r w:rsidRPr="00720EE4" w:rsidR="00120324">
        <w:rPr>
          <w:sz w:val="24"/>
          <w:szCs w:val="24"/>
        </w:rPr>
        <w:t xml:space="preserve"> and</w:t>
      </w:r>
      <w:r w:rsidRPr="00720EE4" w:rsidR="00696DD5">
        <w:rPr>
          <w:sz w:val="24"/>
          <w:szCs w:val="24"/>
        </w:rPr>
        <w:t xml:space="preserve"> upload</w:t>
      </w:r>
      <w:r w:rsidR="002818D2">
        <w:rPr>
          <w:sz w:val="24"/>
          <w:szCs w:val="24"/>
        </w:rPr>
        <w:t xml:space="preserve"> the</w:t>
      </w:r>
      <w:r w:rsidRPr="00720EE4" w:rsidR="00696DD5">
        <w:rPr>
          <w:sz w:val="24"/>
          <w:szCs w:val="24"/>
        </w:rPr>
        <w:t xml:space="preserve"> </w:t>
      </w:r>
      <w:r w:rsidR="002818D2">
        <w:rPr>
          <w:sz w:val="24"/>
          <w:szCs w:val="24"/>
        </w:rPr>
        <w:t>applicable</w:t>
      </w:r>
      <w:r>
        <w:rPr>
          <w:sz w:val="24"/>
          <w:szCs w:val="24"/>
        </w:rPr>
        <w:t xml:space="preserve"> </w:t>
      </w:r>
      <w:r w:rsidRPr="00720EE4" w:rsidR="00696DD5">
        <w:rPr>
          <w:sz w:val="24"/>
          <w:szCs w:val="24"/>
        </w:rPr>
        <w:t>AAP</w:t>
      </w:r>
      <w:r w:rsidR="002818D2">
        <w:rPr>
          <w:sz w:val="24"/>
          <w:szCs w:val="24"/>
        </w:rPr>
        <w:t>(</w:t>
      </w:r>
      <w:r w:rsidRPr="00720EE4" w:rsidR="0079124B">
        <w:rPr>
          <w:sz w:val="24"/>
          <w:szCs w:val="24"/>
        </w:rPr>
        <w:t>s</w:t>
      </w:r>
      <w:r w:rsidR="002818D2">
        <w:rPr>
          <w:sz w:val="24"/>
          <w:szCs w:val="24"/>
        </w:rPr>
        <w:t>)</w:t>
      </w:r>
      <w:r w:rsidR="008B7F6A">
        <w:rPr>
          <w:sz w:val="24"/>
          <w:szCs w:val="24"/>
        </w:rPr>
        <w:t xml:space="preserve">.  </w:t>
      </w:r>
      <w:r w:rsidRPr="00720EE4" w:rsidR="00696DD5">
        <w:rPr>
          <w:sz w:val="24"/>
          <w:szCs w:val="24"/>
        </w:rPr>
        <w:t xml:space="preserve"> </w:t>
      </w:r>
    </w:p>
    <w:p w:rsidRPr="00720EE4" w:rsidR="00120324" w:rsidP="00696DD5" w:rsidRDefault="00120324" w14:paraId="672FFE34" w14:textId="77777777">
      <w:pPr>
        <w:rPr>
          <w:sz w:val="24"/>
          <w:szCs w:val="24"/>
        </w:rPr>
      </w:pPr>
    </w:p>
    <w:p w:rsidRPr="00720EE4" w:rsidR="00120324" w:rsidP="00120324" w:rsidRDefault="00C16A5F" w14:paraId="373809E7" w14:textId="6C696754">
      <w:pPr>
        <w:rPr>
          <w:b/>
          <w:sz w:val="24"/>
          <w:szCs w:val="24"/>
          <w:u w:val="single"/>
        </w:rPr>
      </w:pPr>
      <w:r>
        <w:rPr>
          <w:b/>
          <w:sz w:val="24"/>
          <w:szCs w:val="24"/>
          <w:u w:val="single"/>
        </w:rPr>
        <w:t xml:space="preserve">Annual Certification </w:t>
      </w:r>
    </w:p>
    <w:p w:rsidRPr="00720EE4" w:rsidR="00120324" w:rsidP="00120324" w:rsidRDefault="002743F0" w14:paraId="7BE0A3CD" w14:textId="46C7CB7D">
      <w:pPr>
        <w:rPr>
          <w:sz w:val="24"/>
          <w:szCs w:val="24"/>
        </w:rPr>
      </w:pPr>
      <w:r>
        <w:rPr>
          <w:sz w:val="24"/>
          <w:szCs w:val="24"/>
        </w:rPr>
        <w:t xml:space="preserve">On an annual basis, </w:t>
      </w:r>
      <w:r w:rsidR="00955D92">
        <w:rPr>
          <w:sz w:val="24"/>
          <w:szCs w:val="24"/>
        </w:rPr>
        <w:t xml:space="preserve">each </w:t>
      </w:r>
      <w:r>
        <w:rPr>
          <w:sz w:val="24"/>
          <w:szCs w:val="24"/>
        </w:rPr>
        <w:t>u</w:t>
      </w:r>
      <w:r w:rsidRPr="00720EE4" w:rsidR="0002288F">
        <w:rPr>
          <w:sz w:val="24"/>
          <w:szCs w:val="24"/>
        </w:rPr>
        <w:t>ser</w:t>
      </w:r>
      <w:r w:rsidRPr="00720EE4" w:rsidR="00120324">
        <w:rPr>
          <w:sz w:val="24"/>
          <w:szCs w:val="24"/>
        </w:rPr>
        <w:t xml:space="preserve"> will</w:t>
      </w:r>
      <w:r w:rsidR="001C2FE1">
        <w:rPr>
          <w:sz w:val="24"/>
          <w:szCs w:val="24"/>
        </w:rPr>
        <w:t xml:space="preserve"> use AAP-VI to</w:t>
      </w:r>
      <w:r w:rsidRPr="00720EE4" w:rsidR="00120324">
        <w:rPr>
          <w:sz w:val="24"/>
          <w:szCs w:val="24"/>
        </w:rPr>
        <w:t xml:space="preserve"> select one</w:t>
      </w:r>
      <w:r w:rsidR="00955D92">
        <w:rPr>
          <w:sz w:val="24"/>
          <w:szCs w:val="24"/>
        </w:rPr>
        <w:t xml:space="preserve"> of the below</w:t>
      </w:r>
      <w:r w:rsidRPr="00720EE4" w:rsidR="00120324">
        <w:rPr>
          <w:sz w:val="24"/>
          <w:szCs w:val="24"/>
        </w:rPr>
        <w:t xml:space="preserve"> response</w:t>
      </w:r>
      <w:r w:rsidR="00955D92">
        <w:rPr>
          <w:sz w:val="24"/>
          <w:szCs w:val="24"/>
        </w:rPr>
        <w:t>s</w:t>
      </w:r>
      <w:r w:rsidR="001C2FE1">
        <w:rPr>
          <w:sz w:val="24"/>
          <w:szCs w:val="24"/>
        </w:rPr>
        <w:t xml:space="preserve"> </w:t>
      </w:r>
      <w:r w:rsidR="00955D92">
        <w:rPr>
          <w:sz w:val="24"/>
          <w:szCs w:val="24"/>
        </w:rPr>
        <w:t xml:space="preserve">to </w:t>
      </w:r>
      <w:r w:rsidR="001C2FE1">
        <w:rPr>
          <w:sz w:val="24"/>
          <w:szCs w:val="24"/>
        </w:rPr>
        <w:t>fulfill its annual certification requirement</w:t>
      </w:r>
      <w:r w:rsidR="00AC7B2C">
        <w:rPr>
          <w:sz w:val="24"/>
          <w:szCs w:val="24"/>
        </w:rPr>
        <w:t>.</w:t>
      </w:r>
    </w:p>
    <w:p w:rsidRPr="00720EE4" w:rsidR="002818D2" w:rsidP="00120324" w:rsidRDefault="002818D2" w14:paraId="68C2956A" w14:textId="77777777">
      <w:pPr>
        <w:rPr>
          <w:sz w:val="24"/>
          <w:szCs w:val="24"/>
        </w:rPr>
      </w:pPr>
    </w:p>
    <w:p w:rsidRPr="00720EE4" w:rsidR="00120324" w:rsidP="00120324" w:rsidRDefault="00120324" w14:paraId="31CA3DAE" w14:textId="217392BD">
      <w:pPr>
        <w:pStyle w:val="ListParagraph"/>
        <w:numPr>
          <w:ilvl w:val="0"/>
          <w:numId w:val="11"/>
        </w:numPr>
        <w:rPr>
          <w:sz w:val="24"/>
          <w:szCs w:val="24"/>
        </w:rPr>
      </w:pPr>
      <w:r w:rsidRPr="00720EE4">
        <w:rPr>
          <w:sz w:val="24"/>
          <w:szCs w:val="24"/>
        </w:rPr>
        <w:t xml:space="preserve">Entity has developed and </w:t>
      </w:r>
      <w:r w:rsidR="00767336">
        <w:rPr>
          <w:sz w:val="24"/>
          <w:szCs w:val="24"/>
        </w:rPr>
        <w:t>maintained</w:t>
      </w:r>
      <w:r w:rsidRPr="00720EE4">
        <w:rPr>
          <w:sz w:val="24"/>
          <w:szCs w:val="24"/>
        </w:rPr>
        <w:t xml:space="preserve"> </w:t>
      </w:r>
      <w:r w:rsidR="00ED12FF">
        <w:rPr>
          <w:sz w:val="24"/>
          <w:szCs w:val="24"/>
        </w:rPr>
        <w:t xml:space="preserve">affirmative action programs </w:t>
      </w:r>
      <w:r w:rsidRPr="00720EE4">
        <w:rPr>
          <w:sz w:val="24"/>
          <w:szCs w:val="24"/>
        </w:rPr>
        <w:t>at each establishment</w:t>
      </w:r>
      <w:r w:rsidR="00ED12FF">
        <w:rPr>
          <w:sz w:val="24"/>
          <w:szCs w:val="24"/>
        </w:rPr>
        <w:t>, as applicable</w:t>
      </w:r>
      <w:r w:rsidR="006D3B30">
        <w:rPr>
          <w:sz w:val="24"/>
          <w:szCs w:val="24"/>
        </w:rPr>
        <w:t>, or for each functional or business unit</w:t>
      </w:r>
      <w:r w:rsidR="00DC6215">
        <w:rPr>
          <w:sz w:val="24"/>
          <w:szCs w:val="24"/>
        </w:rPr>
        <w:t>.</w:t>
      </w:r>
      <w:r w:rsidRPr="00720EE4">
        <w:rPr>
          <w:sz w:val="24"/>
          <w:szCs w:val="24"/>
        </w:rPr>
        <w:t xml:space="preserve"> </w:t>
      </w:r>
      <w:r w:rsidR="00DC6215">
        <w:rPr>
          <w:sz w:val="24"/>
          <w:szCs w:val="24"/>
        </w:rPr>
        <w:t xml:space="preserve"> </w:t>
      </w:r>
      <w:r w:rsidR="00DC6215">
        <w:rPr>
          <w:i/>
          <w:sz w:val="24"/>
          <w:szCs w:val="24"/>
        </w:rPr>
        <w:t>See</w:t>
      </w:r>
      <w:r w:rsidR="004B7993">
        <w:rPr>
          <w:sz w:val="24"/>
          <w:szCs w:val="24"/>
        </w:rPr>
        <w:t xml:space="preserve"> </w:t>
      </w:r>
      <w:r w:rsidRPr="00720EE4">
        <w:rPr>
          <w:sz w:val="24"/>
          <w:szCs w:val="24"/>
        </w:rPr>
        <w:t>41</w:t>
      </w:r>
      <w:r w:rsidRPr="00720EE4" w:rsidR="00584A81">
        <w:rPr>
          <w:sz w:val="24"/>
          <w:szCs w:val="24"/>
        </w:rPr>
        <w:t xml:space="preserve"> </w:t>
      </w:r>
      <w:r w:rsidRPr="00720EE4">
        <w:rPr>
          <w:sz w:val="24"/>
          <w:szCs w:val="24"/>
        </w:rPr>
        <w:t xml:space="preserve">CFR </w:t>
      </w:r>
      <w:r w:rsidR="00955D92">
        <w:rPr>
          <w:sz w:val="24"/>
          <w:szCs w:val="24"/>
        </w:rPr>
        <w:t>Chapter 60</w:t>
      </w:r>
      <w:r w:rsidR="004B7993">
        <w:rPr>
          <w:sz w:val="24"/>
          <w:szCs w:val="24"/>
        </w:rPr>
        <w:t>.</w:t>
      </w:r>
    </w:p>
    <w:p w:rsidRPr="00720EE4" w:rsidR="00120324" w:rsidP="00120324" w:rsidRDefault="00120324" w14:paraId="36AD07D1" w14:textId="410B4C5E">
      <w:pPr>
        <w:pStyle w:val="ListParagraph"/>
        <w:numPr>
          <w:ilvl w:val="0"/>
          <w:numId w:val="11"/>
        </w:numPr>
        <w:rPr>
          <w:sz w:val="24"/>
          <w:szCs w:val="24"/>
        </w:rPr>
      </w:pPr>
      <w:r w:rsidRPr="00720EE4">
        <w:rPr>
          <w:sz w:val="24"/>
          <w:szCs w:val="24"/>
        </w:rPr>
        <w:t xml:space="preserve">Entity has </w:t>
      </w:r>
      <w:r w:rsidR="00767336">
        <w:rPr>
          <w:sz w:val="24"/>
          <w:szCs w:val="24"/>
        </w:rPr>
        <w:t xml:space="preserve">been party to a qualifying federal contract or subcontract for 120 days or more and has </w:t>
      </w:r>
      <w:r w:rsidRPr="00720EE4">
        <w:rPr>
          <w:sz w:val="24"/>
          <w:szCs w:val="24"/>
        </w:rPr>
        <w:t xml:space="preserve">not developed and </w:t>
      </w:r>
      <w:r w:rsidR="00767336">
        <w:rPr>
          <w:sz w:val="24"/>
          <w:szCs w:val="24"/>
        </w:rPr>
        <w:t>maintained</w:t>
      </w:r>
      <w:r w:rsidR="00ED12FF">
        <w:rPr>
          <w:sz w:val="24"/>
          <w:szCs w:val="24"/>
        </w:rPr>
        <w:t xml:space="preserve"> </w:t>
      </w:r>
      <w:r w:rsidRPr="00720EE4">
        <w:rPr>
          <w:sz w:val="24"/>
          <w:szCs w:val="24"/>
        </w:rPr>
        <w:t>affirmative action programs</w:t>
      </w:r>
      <w:r w:rsidRPr="00ED12FF" w:rsidR="00ED12FF">
        <w:rPr>
          <w:sz w:val="24"/>
          <w:szCs w:val="24"/>
        </w:rPr>
        <w:t xml:space="preserve"> </w:t>
      </w:r>
      <w:r w:rsidRPr="00720EE4" w:rsidR="00ED12FF">
        <w:rPr>
          <w:sz w:val="24"/>
          <w:szCs w:val="24"/>
        </w:rPr>
        <w:t>at each establishment</w:t>
      </w:r>
      <w:r w:rsidR="00CC00D7">
        <w:rPr>
          <w:sz w:val="24"/>
          <w:szCs w:val="24"/>
        </w:rPr>
        <w:t>, as applicable</w:t>
      </w:r>
      <w:r w:rsidR="00DC6215">
        <w:rPr>
          <w:sz w:val="24"/>
          <w:szCs w:val="24"/>
        </w:rPr>
        <w:t xml:space="preserve">. </w:t>
      </w:r>
      <w:r w:rsidRPr="00720EE4">
        <w:rPr>
          <w:sz w:val="24"/>
          <w:szCs w:val="24"/>
        </w:rPr>
        <w:t xml:space="preserve"> </w:t>
      </w:r>
      <w:r w:rsidR="00DC6215">
        <w:rPr>
          <w:i/>
          <w:sz w:val="24"/>
          <w:szCs w:val="24"/>
        </w:rPr>
        <w:t xml:space="preserve">See </w:t>
      </w:r>
      <w:r w:rsidRPr="00720EE4" w:rsidR="00955D92">
        <w:rPr>
          <w:sz w:val="24"/>
          <w:szCs w:val="24"/>
        </w:rPr>
        <w:t xml:space="preserve">41 CFR </w:t>
      </w:r>
      <w:r w:rsidR="00955D92">
        <w:rPr>
          <w:sz w:val="24"/>
          <w:szCs w:val="24"/>
        </w:rPr>
        <w:t>Chapter 60.</w:t>
      </w:r>
    </w:p>
    <w:p w:rsidR="00120324" w:rsidRDefault="00120324" w14:paraId="27119AF8" w14:textId="365F18DE">
      <w:pPr>
        <w:pStyle w:val="ListParagraph"/>
        <w:numPr>
          <w:ilvl w:val="0"/>
          <w:numId w:val="11"/>
        </w:numPr>
        <w:rPr>
          <w:sz w:val="24"/>
          <w:szCs w:val="24"/>
        </w:rPr>
      </w:pPr>
      <w:r w:rsidRPr="00720EE4">
        <w:rPr>
          <w:sz w:val="24"/>
          <w:szCs w:val="24"/>
        </w:rPr>
        <w:t xml:space="preserve">Entity </w:t>
      </w:r>
      <w:r w:rsidRPr="00C51042" w:rsidR="00767336">
        <w:rPr>
          <w:rStyle w:val="CommentReference"/>
          <w:sz w:val="24"/>
          <w:szCs w:val="24"/>
        </w:rPr>
        <w:t xml:space="preserve">became a covered federal contractor or subcontractor </w:t>
      </w:r>
      <w:r w:rsidRPr="00767336" w:rsidR="00EB52D6">
        <w:rPr>
          <w:sz w:val="24"/>
          <w:szCs w:val="24"/>
        </w:rPr>
        <w:t xml:space="preserve">within the past 120 days and </w:t>
      </w:r>
      <w:r w:rsidRPr="00767336" w:rsidR="00767336">
        <w:rPr>
          <w:sz w:val="24"/>
          <w:szCs w:val="24"/>
        </w:rPr>
        <w:t xml:space="preserve">therefore </w:t>
      </w:r>
      <w:r w:rsidRPr="00767336" w:rsidR="00EB52D6">
        <w:rPr>
          <w:sz w:val="24"/>
          <w:szCs w:val="24"/>
        </w:rPr>
        <w:t>has not yet</w:t>
      </w:r>
      <w:r w:rsidR="00EB52D6">
        <w:rPr>
          <w:sz w:val="24"/>
          <w:szCs w:val="24"/>
        </w:rPr>
        <w:t xml:space="preserve"> developed </w:t>
      </w:r>
      <w:r w:rsidR="00DC6215">
        <w:rPr>
          <w:sz w:val="24"/>
          <w:szCs w:val="24"/>
        </w:rPr>
        <w:t xml:space="preserve">applicable </w:t>
      </w:r>
      <w:r w:rsidR="00EB52D6">
        <w:rPr>
          <w:sz w:val="24"/>
          <w:szCs w:val="24"/>
        </w:rPr>
        <w:t>affirmative action programs</w:t>
      </w:r>
      <w:r w:rsidR="00DC6215">
        <w:rPr>
          <w:sz w:val="24"/>
          <w:szCs w:val="24"/>
        </w:rPr>
        <w:t>.</w:t>
      </w:r>
      <w:r w:rsidR="00EB52D6">
        <w:rPr>
          <w:sz w:val="24"/>
          <w:szCs w:val="24"/>
        </w:rPr>
        <w:t xml:space="preserve"> </w:t>
      </w:r>
      <w:r w:rsidR="00955D92">
        <w:rPr>
          <w:sz w:val="24"/>
          <w:szCs w:val="24"/>
        </w:rPr>
        <w:t xml:space="preserve"> </w:t>
      </w:r>
      <w:r w:rsidR="00DC6215">
        <w:rPr>
          <w:i/>
          <w:sz w:val="24"/>
          <w:szCs w:val="24"/>
        </w:rPr>
        <w:t xml:space="preserve">See </w:t>
      </w:r>
      <w:r w:rsidRPr="00720EE4" w:rsidR="00955D92">
        <w:rPr>
          <w:sz w:val="24"/>
          <w:szCs w:val="24"/>
        </w:rPr>
        <w:t xml:space="preserve">41 CFR </w:t>
      </w:r>
      <w:r w:rsidR="00955D92">
        <w:rPr>
          <w:sz w:val="24"/>
          <w:szCs w:val="24"/>
        </w:rPr>
        <w:t>Chapter 60.</w:t>
      </w:r>
    </w:p>
    <w:p w:rsidR="00A05F9C" w:rsidP="00A05F9C" w:rsidRDefault="00A05F9C" w14:paraId="2CF5AD18" w14:textId="5ECDFA95">
      <w:pPr>
        <w:rPr>
          <w:sz w:val="24"/>
          <w:szCs w:val="24"/>
        </w:rPr>
      </w:pPr>
    </w:p>
    <w:p w:rsidR="00025043" w:rsidP="00A05F9C" w:rsidRDefault="00D6264F" w14:paraId="6ED7CE99" w14:textId="08A25D0C">
      <w:pPr>
        <w:rPr>
          <w:sz w:val="24"/>
          <w:szCs w:val="24"/>
        </w:rPr>
      </w:pPr>
      <w:r>
        <w:rPr>
          <w:sz w:val="24"/>
          <w:szCs w:val="24"/>
        </w:rPr>
        <w:t>Existing c</w:t>
      </w:r>
      <w:r w:rsidR="00025043">
        <w:rPr>
          <w:sz w:val="24"/>
          <w:szCs w:val="24"/>
        </w:rPr>
        <w:t xml:space="preserve">ontractors </w:t>
      </w:r>
      <w:r>
        <w:rPr>
          <w:sz w:val="24"/>
          <w:szCs w:val="24"/>
        </w:rPr>
        <w:t xml:space="preserve">will have </w:t>
      </w:r>
      <w:r w:rsidR="00025043">
        <w:rPr>
          <w:sz w:val="24"/>
          <w:szCs w:val="24"/>
        </w:rPr>
        <w:t>90</w:t>
      </w:r>
      <w:r>
        <w:rPr>
          <w:sz w:val="24"/>
          <w:szCs w:val="24"/>
        </w:rPr>
        <w:t xml:space="preserve"> </w:t>
      </w:r>
      <w:r w:rsidR="00025043">
        <w:rPr>
          <w:sz w:val="24"/>
          <w:szCs w:val="24"/>
        </w:rPr>
        <w:t xml:space="preserve">days </w:t>
      </w:r>
      <w:r>
        <w:rPr>
          <w:sz w:val="24"/>
          <w:szCs w:val="24"/>
        </w:rPr>
        <w:t>to comply with the certification requirement once it takes effect</w:t>
      </w:r>
      <w:r w:rsidR="00025043">
        <w:rPr>
          <w:sz w:val="24"/>
          <w:szCs w:val="24"/>
        </w:rPr>
        <w:t>.</w:t>
      </w:r>
      <w:r w:rsidR="00C42B52">
        <w:rPr>
          <w:sz w:val="24"/>
          <w:szCs w:val="24"/>
        </w:rPr>
        <w:t xml:space="preserve"> </w:t>
      </w:r>
      <w:r w:rsidR="00025043">
        <w:rPr>
          <w:sz w:val="24"/>
          <w:szCs w:val="24"/>
        </w:rPr>
        <w:t xml:space="preserve"> New contractors and existing contractors who become subject to AAP requirements after the effective date will </w:t>
      </w:r>
      <w:r>
        <w:rPr>
          <w:sz w:val="24"/>
          <w:szCs w:val="24"/>
        </w:rPr>
        <w:t xml:space="preserve">have </w:t>
      </w:r>
      <w:r w:rsidR="00025043">
        <w:rPr>
          <w:sz w:val="24"/>
          <w:szCs w:val="24"/>
        </w:rPr>
        <w:t>90</w:t>
      </w:r>
      <w:r>
        <w:rPr>
          <w:sz w:val="24"/>
          <w:szCs w:val="24"/>
        </w:rPr>
        <w:t xml:space="preserve"> </w:t>
      </w:r>
      <w:r w:rsidR="00025043">
        <w:rPr>
          <w:sz w:val="24"/>
          <w:szCs w:val="24"/>
        </w:rPr>
        <w:t>day</w:t>
      </w:r>
      <w:r>
        <w:rPr>
          <w:sz w:val="24"/>
          <w:szCs w:val="24"/>
        </w:rPr>
        <w:t>s</w:t>
      </w:r>
      <w:r w:rsidR="00025043">
        <w:rPr>
          <w:sz w:val="24"/>
          <w:szCs w:val="24"/>
        </w:rPr>
        <w:t xml:space="preserve"> </w:t>
      </w:r>
      <w:r>
        <w:rPr>
          <w:sz w:val="24"/>
          <w:szCs w:val="24"/>
        </w:rPr>
        <w:t xml:space="preserve">after they have developed </w:t>
      </w:r>
      <w:r w:rsidR="00025043">
        <w:rPr>
          <w:sz w:val="24"/>
          <w:szCs w:val="24"/>
        </w:rPr>
        <w:t>their AAP</w:t>
      </w:r>
      <w:r>
        <w:rPr>
          <w:sz w:val="24"/>
          <w:szCs w:val="24"/>
        </w:rPr>
        <w:t>(s)</w:t>
      </w:r>
      <w:r w:rsidR="00025043">
        <w:rPr>
          <w:sz w:val="24"/>
          <w:szCs w:val="24"/>
        </w:rPr>
        <w:t>.</w:t>
      </w:r>
      <w:r>
        <w:rPr>
          <w:rStyle w:val="FootnoteReference"/>
          <w:sz w:val="24"/>
          <w:szCs w:val="24"/>
        </w:rPr>
        <w:footnoteReference w:id="13"/>
      </w:r>
      <w:r w:rsidR="00025043">
        <w:rPr>
          <w:sz w:val="24"/>
          <w:szCs w:val="24"/>
        </w:rPr>
        <w:t xml:space="preserve"> </w:t>
      </w:r>
    </w:p>
    <w:p w:rsidR="00025043" w:rsidP="00A05F9C" w:rsidRDefault="00025043" w14:paraId="1A55B557" w14:textId="77777777">
      <w:pPr>
        <w:rPr>
          <w:sz w:val="24"/>
          <w:szCs w:val="24"/>
        </w:rPr>
      </w:pPr>
    </w:p>
    <w:p w:rsidRPr="00A05F9C" w:rsidR="00A05F9C" w:rsidP="00A05F9C" w:rsidRDefault="00025043" w14:paraId="1F1316C0" w14:textId="3087CAF9">
      <w:pPr>
        <w:rPr>
          <w:sz w:val="24"/>
          <w:szCs w:val="24"/>
        </w:rPr>
      </w:pPr>
      <w:r>
        <w:rPr>
          <w:sz w:val="24"/>
          <w:szCs w:val="24"/>
        </w:rPr>
        <w:t>During the 90-day period, OFCCP will provide compliance assistance to contractors upon request.  Contra</w:t>
      </w:r>
      <w:r w:rsidR="00FB35ED">
        <w:rPr>
          <w:sz w:val="24"/>
          <w:szCs w:val="24"/>
        </w:rPr>
        <w:t xml:space="preserve">ctors will not be penalized in any way for requesting assistance.  </w:t>
      </w:r>
      <w:r>
        <w:rPr>
          <w:sz w:val="24"/>
          <w:szCs w:val="24"/>
        </w:rPr>
        <w:t xml:space="preserve"> </w:t>
      </w:r>
    </w:p>
    <w:p w:rsidR="0026508F" w:rsidP="00912523" w:rsidRDefault="0026508F" w14:paraId="6972DEDA" w14:textId="1C67192C">
      <w:pPr>
        <w:rPr>
          <w:sz w:val="24"/>
          <w:szCs w:val="24"/>
        </w:rPr>
      </w:pPr>
    </w:p>
    <w:p w:rsidR="00D156BD" w:rsidP="00912523" w:rsidRDefault="00D156BD" w14:paraId="3A3D7584" w14:textId="330194C3">
      <w:pPr>
        <w:rPr>
          <w:sz w:val="24"/>
          <w:szCs w:val="24"/>
        </w:rPr>
      </w:pPr>
      <w:r>
        <w:rPr>
          <w:sz w:val="24"/>
          <w:szCs w:val="24"/>
        </w:rPr>
        <w:t xml:space="preserve">After the initial certification year, OFCCP will set a date by which all existing contractors must renew their annual certification. </w:t>
      </w:r>
    </w:p>
    <w:p w:rsidRPr="00720EE4" w:rsidR="00D156BD" w:rsidP="00912523" w:rsidRDefault="00D156BD" w14:paraId="04C1AC96" w14:textId="77777777">
      <w:pPr>
        <w:rPr>
          <w:sz w:val="24"/>
          <w:szCs w:val="24"/>
        </w:rPr>
      </w:pPr>
    </w:p>
    <w:p w:rsidRPr="00720EE4" w:rsidR="00912523" w:rsidP="00912523" w:rsidRDefault="00912523" w14:paraId="76DC4B53" w14:textId="77777777">
      <w:pPr>
        <w:pStyle w:val="HTMLPreformatted"/>
        <w:rPr>
          <w:rFonts w:ascii="Times New Roman" w:hAnsi="Times New Roman" w:cs="Times New Roman"/>
          <w:b/>
          <w:sz w:val="24"/>
          <w:szCs w:val="24"/>
        </w:rPr>
      </w:pPr>
      <w:r w:rsidRPr="00720EE4">
        <w:rPr>
          <w:rFonts w:ascii="Times New Roman" w:hAnsi="Times New Roman" w:cs="Times New Roman"/>
          <w:b/>
          <w:sz w:val="24"/>
          <w:szCs w:val="24"/>
        </w:rPr>
        <w:t xml:space="preserve">2.  </w:t>
      </w:r>
      <w:r w:rsidRPr="00720EE4" w:rsidR="00377386">
        <w:rPr>
          <w:rFonts w:ascii="Times New Roman" w:hAnsi="Times New Roman" w:cs="Times New Roman"/>
          <w:b/>
          <w:sz w:val="24"/>
          <w:szCs w:val="24"/>
        </w:rPr>
        <w:t>Use of Collected Material</w:t>
      </w:r>
      <w:r w:rsidRPr="00720EE4">
        <w:rPr>
          <w:rFonts w:ascii="Times New Roman" w:hAnsi="Times New Roman" w:cs="Times New Roman"/>
          <w:b/>
          <w:sz w:val="24"/>
          <w:szCs w:val="24"/>
        </w:rPr>
        <w:t xml:space="preserve">  </w:t>
      </w:r>
    </w:p>
    <w:p w:rsidRPr="00720EE4" w:rsidR="00EE606D" w:rsidP="00912523" w:rsidRDefault="00EE606D" w14:paraId="7C42B233" w14:textId="77777777">
      <w:pPr>
        <w:pStyle w:val="HTMLPreformatted"/>
        <w:rPr>
          <w:rFonts w:ascii="Times New Roman" w:hAnsi="Times New Roman" w:cs="Times New Roman"/>
          <w:sz w:val="24"/>
          <w:szCs w:val="24"/>
        </w:rPr>
      </w:pPr>
    </w:p>
    <w:p w:rsidRPr="00720EE4" w:rsidR="00511247" w:rsidP="00912523" w:rsidRDefault="008E495E" w14:paraId="25BB42E5" w14:textId="76275C87">
      <w:pPr>
        <w:pStyle w:val="HTMLPreformatted"/>
        <w:rPr>
          <w:rFonts w:ascii="Times New Roman" w:hAnsi="Times New Roman" w:cs="Times New Roman"/>
          <w:sz w:val="24"/>
          <w:szCs w:val="24"/>
        </w:rPr>
      </w:pPr>
      <w:r w:rsidRPr="00720EE4">
        <w:rPr>
          <w:rFonts w:ascii="Times New Roman" w:hAnsi="Times New Roman" w:cs="Times New Roman"/>
          <w:sz w:val="24"/>
          <w:szCs w:val="24"/>
        </w:rPr>
        <w:t xml:space="preserve">OFCCP will use the </w:t>
      </w:r>
      <w:r w:rsidR="002818D2">
        <w:rPr>
          <w:rFonts w:ascii="Times New Roman" w:hAnsi="Times New Roman" w:cs="Times New Roman"/>
          <w:sz w:val="24"/>
          <w:szCs w:val="24"/>
        </w:rPr>
        <w:t>material collected in this ICR</w:t>
      </w:r>
      <w:r w:rsidRPr="00720EE4" w:rsidR="00667774">
        <w:rPr>
          <w:rFonts w:ascii="Times New Roman" w:hAnsi="Times New Roman" w:cs="Times New Roman"/>
          <w:sz w:val="24"/>
          <w:szCs w:val="24"/>
        </w:rPr>
        <w:t xml:space="preserve"> </w:t>
      </w:r>
      <w:r w:rsidR="002818D2">
        <w:rPr>
          <w:rFonts w:ascii="Times New Roman" w:hAnsi="Times New Roman" w:cs="Times New Roman"/>
          <w:sz w:val="24"/>
          <w:szCs w:val="24"/>
        </w:rPr>
        <w:t>to</w:t>
      </w:r>
      <w:r w:rsidRPr="00720EE4" w:rsidR="00A82C40">
        <w:rPr>
          <w:rFonts w:ascii="Times New Roman" w:hAnsi="Times New Roman" w:cs="Times New Roman"/>
          <w:sz w:val="24"/>
          <w:szCs w:val="24"/>
        </w:rPr>
        <w:t xml:space="preserve"> </w:t>
      </w:r>
      <w:r w:rsidR="002818D2">
        <w:rPr>
          <w:rFonts w:ascii="Times New Roman" w:hAnsi="Times New Roman" w:cs="Times New Roman"/>
          <w:sz w:val="24"/>
          <w:szCs w:val="24"/>
        </w:rPr>
        <w:t xml:space="preserve">evaluate </w:t>
      </w:r>
      <w:r w:rsidRPr="00720EE4" w:rsidR="00667774">
        <w:rPr>
          <w:rFonts w:ascii="Times New Roman" w:hAnsi="Times New Roman" w:cs="Times New Roman"/>
          <w:sz w:val="24"/>
          <w:szCs w:val="24"/>
        </w:rPr>
        <w:t>AAPs</w:t>
      </w:r>
      <w:r w:rsidRPr="00720EE4" w:rsidR="004E7D4C">
        <w:rPr>
          <w:rFonts w:ascii="Times New Roman" w:hAnsi="Times New Roman" w:cs="Times New Roman"/>
          <w:sz w:val="24"/>
          <w:szCs w:val="24"/>
        </w:rPr>
        <w:t xml:space="preserve"> </w:t>
      </w:r>
      <w:r w:rsidR="002818D2">
        <w:rPr>
          <w:rFonts w:ascii="Times New Roman" w:hAnsi="Times New Roman" w:cs="Times New Roman"/>
          <w:sz w:val="24"/>
          <w:szCs w:val="24"/>
        </w:rPr>
        <w:t>submitted by</w:t>
      </w:r>
      <w:r w:rsidRPr="00720EE4" w:rsidR="002818D2">
        <w:rPr>
          <w:rFonts w:ascii="Times New Roman" w:hAnsi="Times New Roman" w:cs="Times New Roman"/>
          <w:sz w:val="24"/>
          <w:szCs w:val="24"/>
        </w:rPr>
        <w:t xml:space="preserve"> </w:t>
      </w:r>
      <w:r w:rsidR="002818D2">
        <w:rPr>
          <w:rFonts w:ascii="Times New Roman" w:hAnsi="Times New Roman" w:cs="Times New Roman"/>
          <w:sz w:val="24"/>
          <w:szCs w:val="24"/>
        </w:rPr>
        <w:t>scheduled</w:t>
      </w:r>
      <w:r w:rsidRPr="00720EE4" w:rsidR="002818D2">
        <w:rPr>
          <w:rFonts w:ascii="Times New Roman" w:hAnsi="Times New Roman" w:cs="Times New Roman"/>
          <w:sz w:val="24"/>
          <w:szCs w:val="24"/>
        </w:rPr>
        <w:t xml:space="preserve"> </w:t>
      </w:r>
      <w:r w:rsidRPr="00720EE4" w:rsidR="004E7D4C">
        <w:rPr>
          <w:rFonts w:ascii="Times New Roman" w:hAnsi="Times New Roman" w:cs="Times New Roman"/>
          <w:sz w:val="24"/>
          <w:szCs w:val="24"/>
        </w:rPr>
        <w:t>contractors under its jurisdiction</w:t>
      </w:r>
      <w:r w:rsidR="002818D2">
        <w:rPr>
          <w:rFonts w:ascii="Times New Roman" w:hAnsi="Times New Roman" w:cs="Times New Roman"/>
          <w:sz w:val="24"/>
          <w:szCs w:val="24"/>
        </w:rPr>
        <w:t xml:space="preserve"> and to verify that contractors are annually certifying their compliance with federal contracting obligations</w:t>
      </w:r>
      <w:r w:rsidRPr="00720EE4" w:rsidR="00F96A67">
        <w:rPr>
          <w:rFonts w:ascii="Times New Roman" w:hAnsi="Times New Roman" w:cs="Times New Roman"/>
          <w:sz w:val="24"/>
          <w:szCs w:val="24"/>
        </w:rPr>
        <w:t xml:space="preserve">.  </w:t>
      </w:r>
    </w:p>
    <w:p w:rsidRPr="00720EE4" w:rsidR="00912523" w:rsidP="00912523" w:rsidRDefault="00912523" w14:paraId="1C02021E" w14:textId="77777777">
      <w:pPr>
        <w:rPr>
          <w:sz w:val="24"/>
          <w:szCs w:val="24"/>
        </w:rPr>
      </w:pPr>
    </w:p>
    <w:p w:rsidRPr="00720EE4" w:rsidR="00912523" w:rsidP="00912523" w:rsidRDefault="00912523" w14:paraId="1417F1D9" w14:textId="77777777">
      <w:pPr>
        <w:tabs>
          <w:tab w:val="left" w:pos="90"/>
        </w:tabs>
        <w:rPr>
          <w:b/>
          <w:sz w:val="24"/>
          <w:szCs w:val="24"/>
        </w:rPr>
      </w:pPr>
      <w:r w:rsidRPr="00720EE4">
        <w:rPr>
          <w:b/>
          <w:sz w:val="24"/>
          <w:szCs w:val="24"/>
        </w:rPr>
        <w:t xml:space="preserve">3.  </w:t>
      </w:r>
      <w:r w:rsidRPr="00720EE4" w:rsidR="00377386">
        <w:rPr>
          <w:b/>
          <w:sz w:val="24"/>
          <w:szCs w:val="24"/>
        </w:rPr>
        <w:t>Use of Information Technology</w:t>
      </w:r>
      <w:r w:rsidRPr="00720EE4">
        <w:rPr>
          <w:b/>
          <w:sz w:val="24"/>
          <w:szCs w:val="24"/>
        </w:rPr>
        <w:t xml:space="preserve">  </w:t>
      </w:r>
    </w:p>
    <w:p w:rsidRPr="00720EE4" w:rsidR="00912523" w:rsidP="00912523" w:rsidRDefault="00912523" w14:paraId="75A5C71A" w14:textId="77777777">
      <w:pPr>
        <w:tabs>
          <w:tab w:val="left" w:pos="90"/>
        </w:tabs>
        <w:rPr>
          <w:sz w:val="24"/>
          <w:szCs w:val="24"/>
        </w:rPr>
      </w:pPr>
    </w:p>
    <w:p w:rsidRPr="00720EE4" w:rsidR="00F1759C" w:rsidP="00912523" w:rsidRDefault="00F1759C" w14:paraId="73D43644" w14:textId="77777777">
      <w:pPr>
        <w:rPr>
          <w:sz w:val="24"/>
          <w:szCs w:val="24"/>
        </w:rPr>
      </w:pPr>
      <w:r w:rsidRPr="00720EE4">
        <w:rPr>
          <w:sz w:val="24"/>
          <w:szCs w:val="24"/>
        </w:rPr>
        <w:t>In general, under OFCCP’s regulations</w:t>
      </w:r>
      <w:r w:rsidRPr="00720EE4" w:rsidR="00A82C40">
        <w:rPr>
          <w:sz w:val="24"/>
          <w:szCs w:val="24"/>
        </w:rPr>
        <w:t>,</w:t>
      </w:r>
      <w:r w:rsidRPr="00720EE4">
        <w:rPr>
          <w:sz w:val="24"/>
          <w:szCs w:val="24"/>
        </w:rPr>
        <w:t xml:space="preserve"> each </w:t>
      </w:r>
      <w:r w:rsidRPr="00720EE4" w:rsidR="00A82C40">
        <w:rPr>
          <w:sz w:val="24"/>
          <w:szCs w:val="24"/>
        </w:rPr>
        <w:t xml:space="preserve">covered </w:t>
      </w:r>
      <w:r w:rsidRPr="00720EE4">
        <w:rPr>
          <w:sz w:val="24"/>
          <w:szCs w:val="24"/>
        </w:rPr>
        <w:t xml:space="preserve">contractor develops its own methods for collecting and maintaining information.  Contractors have the option to use methods that best suit their needs as long as they can provide OFCCP with the </w:t>
      </w:r>
      <w:r w:rsidRPr="00720EE4" w:rsidR="00696DD5">
        <w:rPr>
          <w:sz w:val="24"/>
          <w:szCs w:val="24"/>
        </w:rPr>
        <w:t xml:space="preserve">information </w:t>
      </w:r>
      <w:r w:rsidRPr="00720EE4">
        <w:rPr>
          <w:sz w:val="24"/>
          <w:szCs w:val="24"/>
        </w:rPr>
        <w:t xml:space="preserve">needed </w:t>
      </w:r>
      <w:r w:rsidRPr="00720EE4" w:rsidR="00754DDB">
        <w:rPr>
          <w:sz w:val="24"/>
          <w:szCs w:val="24"/>
        </w:rPr>
        <w:t>as a part of</w:t>
      </w:r>
      <w:r w:rsidRPr="00720EE4">
        <w:rPr>
          <w:sz w:val="24"/>
          <w:szCs w:val="24"/>
        </w:rPr>
        <w:t xml:space="preserve"> </w:t>
      </w:r>
      <w:r w:rsidRPr="00720EE4" w:rsidR="002A0AC1">
        <w:rPr>
          <w:sz w:val="24"/>
          <w:szCs w:val="24"/>
        </w:rPr>
        <w:t xml:space="preserve">the </w:t>
      </w:r>
      <w:r w:rsidRPr="00720EE4">
        <w:rPr>
          <w:sz w:val="24"/>
          <w:szCs w:val="24"/>
        </w:rPr>
        <w:t xml:space="preserve">AAP.  </w:t>
      </w:r>
    </w:p>
    <w:p w:rsidRPr="00720EE4" w:rsidR="00F1759C" w:rsidP="00912523" w:rsidRDefault="00F1759C" w14:paraId="2F32B86E" w14:textId="77777777">
      <w:pPr>
        <w:rPr>
          <w:sz w:val="24"/>
          <w:szCs w:val="24"/>
        </w:rPr>
      </w:pPr>
    </w:p>
    <w:p w:rsidRPr="00720EE4" w:rsidR="00912523" w:rsidP="00912523" w:rsidRDefault="00C759E1" w14:paraId="47DA12D3" w14:textId="10E0DFC9">
      <w:pPr>
        <w:rPr>
          <w:sz w:val="24"/>
          <w:szCs w:val="24"/>
        </w:rPr>
      </w:pPr>
      <w:r w:rsidRPr="00720EE4">
        <w:rPr>
          <w:sz w:val="24"/>
          <w:szCs w:val="24"/>
        </w:rPr>
        <w:t xml:space="preserve">OFCCP will require </w:t>
      </w:r>
      <w:r w:rsidR="002818D2">
        <w:rPr>
          <w:sz w:val="24"/>
          <w:szCs w:val="24"/>
        </w:rPr>
        <w:t>scheduled</w:t>
      </w:r>
      <w:r w:rsidRPr="00720EE4">
        <w:rPr>
          <w:sz w:val="24"/>
          <w:szCs w:val="24"/>
        </w:rPr>
        <w:t xml:space="preserve"> contractor</w:t>
      </w:r>
      <w:r w:rsidR="002818D2">
        <w:rPr>
          <w:sz w:val="24"/>
          <w:szCs w:val="24"/>
        </w:rPr>
        <w:t>s</w:t>
      </w:r>
      <w:r w:rsidRPr="00720EE4" w:rsidR="00CC37D3">
        <w:rPr>
          <w:sz w:val="24"/>
          <w:szCs w:val="24"/>
        </w:rPr>
        <w:t xml:space="preserve"> </w:t>
      </w:r>
      <w:r w:rsidRPr="00720EE4" w:rsidR="005A505E">
        <w:rPr>
          <w:sz w:val="24"/>
          <w:szCs w:val="24"/>
        </w:rPr>
        <w:t xml:space="preserve">to </w:t>
      </w:r>
      <w:r w:rsidRPr="00720EE4">
        <w:rPr>
          <w:sz w:val="24"/>
          <w:szCs w:val="24"/>
        </w:rPr>
        <w:t xml:space="preserve">submit </w:t>
      </w:r>
      <w:r w:rsidR="002818D2">
        <w:rPr>
          <w:sz w:val="24"/>
          <w:szCs w:val="24"/>
        </w:rPr>
        <w:t>their</w:t>
      </w:r>
      <w:r w:rsidRPr="00720EE4" w:rsidR="002818D2">
        <w:rPr>
          <w:sz w:val="24"/>
          <w:szCs w:val="24"/>
        </w:rPr>
        <w:t xml:space="preserve"> </w:t>
      </w:r>
      <w:r w:rsidRPr="00720EE4">
        <w:rPr>
          <w:sz w:val="24"/>
          <w:szCs w:val="24"/>
        </w:rPr>
        <w:t>AAP</w:t>
      </w:r>
      <w:r w:rsidR="002818D2">
        <w:rPr>
          <w:sz w:val="24"/>
          <w:szCs w:val="24"/>
        </w:rPr>
        <w:t>s</w:t>
      </w:r>
      <w:r w:rsidRPr="00720EE4">
        <w:rPr>
          <w:sz w:val="24"/>
          <w:szCs w:val="24"/>
        </w:rPr>
        <w:t xml:space="preserve"> </w:t>
      </w:r>
      <w:r w:rsidRPr="00720EE4" w:rsidR="002A0AC1">
        <w:rPr>
          <w:sz w:val="24"/>
          <w:szCs w:val="24"/>
        </w:rPr>
        <w:t>electronically</w:t>
      </w:r>
      <w:r w:rsidRPr="00720EE4">
        <w:rPr>
          <w:sz w:val="24"/>
          <w:szCs w:val="24"/>
        </w:rPr>
        <w:t xml:space="preserve"> </w:t>
      </w:r>
      <w:r w:rsidR="002818D2">
        <w:rPr>
          <w:sz w:val="24"/>
          <w:szCs w:val="24"/>
        </w:rPr>
        <w:t>using</w:t>
      </w:r>
      <w:r w:rsidRPr="00720EE4" w:rsidR="002818D2">
        <w:rPr>
          <w:sz w:val="24"/>
          <w:szCs w:val="24"/>
        </w:rPr>
        <w:t xml:space="preserve"> </w:t>
      </w:r>
      <w:r w:rsidR="00ED2FCC">
        <w:rPr>
          <w:sz w:val="24"/>
          <w:szCs w:val="24"/>
        </w:rPr>
        <w:t>AAP-VI</w:t>
      </w:r>
      <w:r w:rsidRPr="00720EE4" w:rsidR="00EE606D">
        <w:rPr>
          <w:sz w:val="24"/>
          <w:szCs w:val="24"/>
        </w:rPr>
        <w:t xml:space="preserve">.  </w:t>
      </w:r>
      <w:r w:rsidRPr="00720EE4">
        <w:rPr>
          <w:sz w:val="24"/>
          <w:szCs w:val="24"/>
        </w:rPr>
        <w:t>Pursuant to</w:t>
      </w:r>
      <w:r w:rsidRPr="00720EE4" w:rsidR="00696DD5">
        <w:rPr>
          <w:sz w:val="24"/>
          <w:szCs w:val="24"/>
        </w:rPr>
        <w:t xml:space="preserve"> the Government Paperwork Elimination Act (GPEA)</w:t>
      </w:r>
      <w:r w:rsidRPr="00720EE4" w:rsidR="00020FFD">
        <w:rPr>
          <w:sz w:val="24"/>
          <w:szCs w:val="24"/>
        </w:rPr>
        <w:t>,</w:t>
      </w:r>
      <w:r w:rsidRPr="00720EE4" w:rsidR="00CF2482">
        <w:rPr>
          <w:sz w:val="24"/>
          <w:szCs w:val="24"/>
        </w:rPr>
        <w:t xml:space="preserve"> </w:t>
      </w:r>
      <w:r w:rsidRPr="00720EE4">
        <w:rPr>
          <w:sz w:val="24"/>
          <w:szCs w:val="24"/>
        </w:rPr>
        <w:t>government agencies must provide the option of using and accepting electronic documents and signatures, and electronic recordkeeping, where practicable.</w:t>
      </w:r>
      <w:r w:rsidRPr="00720EE4" w:rsidR="009C7BDF">
        <w:rPr>
          <w:color w:val="000000"/>
          <w:sz w:val="24"/>
          <w:vertAlign w:val="superscript"/>
        </w:rPr>
        <w:footnoteReference w:id="14"/>
      </w:r>
      <w:r w:rsidRPr="00720EE4">
        <w:rPr>
          <w:sz w:val="24"/>
          <w:szCs w:val="24"/>
        </w:rPr>
        <w:t xml:space="preserve">  OFCCP fulfills the GPEA requirements by </w:t>
      </w:r>
      <w:r w:rsidRPr="00720EE4" w:rsidR="003A7FAD">
        <w:rPr>
          <w:sz w:val="24"/>
          <w:szCs w:val="24"/>
        </w:rPr>
        <w:t xml:space="preserve">facilitating </w:t>
      </w:r>
      <w:r w:rsidRPr="00720EE4">
        <w:rPr>
          <w:sz w:val="24"/>
          <w:szCs w:val="24"/>
        </w:rPr>
        <w:t>electronic transmission of contractors’ documentation.</w:t>
      </w:r>
      <w:r w:rsidR="005B7033">
        <w:rPr>
          <w:sz w:val="24"/>
          <w:szCs w:val="24"/>
        </w:rPr>
        <w:t xml:space="preserve">  </w:t>
      </w:r>
      <w:r w:rsidR="002818D2">
        <w:rPr>
          <w:sz w:val="24"/>
          <w:szCs w:val="24"/>
        </w:rPr>
        <w:t>A</w:t>
      </w:r>
      <w:r w:rsidR="005B7033">
        <w:rPr>
          <w:sz w:val="24"/>
          <w:szCs w:val="24"/>
        </w:rPr>
        <w:t>s noted above OFCCP believes that AAP-VI provides a more secure means of AAP transmittal than</w:t>
      </w:r>
      <w:r w:rsidR="002818D2">
        <w:rPr>
          <w:sz w:val="24"/>
          <w:szCs w:val="24"/>
        </w:rPr>
        <w:t xml:space="preserve"> email</w:t>
      </w:r>
      <w:r w:rsidR="005B7033">
        <w:rPr>
          <w:sz w:val="24"/>
          <w:szCs w:val="24"/>
        </w:rPr>
        <w:t>.</w:t>
      </w:r>
    </w:p>
    <w:p w:rsidRPr="00720EE4" w:rsidR="00EE606D" w:rsidP="00912523" w:rsidRDefault="00EE606D" w14:paraId="141111B4" w14:textId="77777777">
      <w:pPr>
        <w:rPr>
          <w:sz w:val="24"/>
          <w:szCs w:val="24"/>
        </w:rPr>
      </w:pPr>
    </w:p>
    <w:p w:rsidRPr="00720EE4" w:rsidR="00F1759C" w:rsidP="00F1759C" w:rsidRDefault="00377386" w14:paraId="6DE0F331" w14:textId="77777777">
      <w:pPr>
        <w:rPr>
          <w:sz w:val="24"/>
          <w:szCs w:val="24"/>
        </w:rPr>
      </w:pPr>
      <w:r w:rsidRPr="00720EE4">
        <w:rPr>
          <w:b/>
          <w:sz w:val="24"/>
          <w:szCs w:val="24"/>
        </w:rPr>
        <w:t>4.  Describe Efforts to Identify D</w:t>
      </w:r>
      <w:r w:rsidRPr="00720EE4" w:rsidR="00912523">
        <w:rPr>
          <w:b/>
          <w:sz w:val="24"/>
          <w:szCs w:val="24"/>
        </w:rPr>
        <w:t xml:space="preserve">uplication </w:t>
      </w:r>
    </w:p>
    <w:p w:rsidRPr="00720EE4" w:rsidR="00D62ABC" w:rsidP="00D62ABC" w:rsidRDefault="00D62ABC" w14:paraId="69DE7F9B" w14:textId="77777777">
      <w:pPr>
        <w:rPr>
          <w:sz w:val="24"/>
          <w:szCs w:val="24"/>
        </w:rPr>
      </w:pPr>
    </w:p>
    <w:p w:rsidRPr="00720EE4" w:rsidR="00912523" w:rsidP="00F1759C" w:rsidRDefault="00CA2C72" w14:paraId="17D2513A" w14:textId="65E4D89C">
      <w:pPr>
        <w:rPr>
          <w:sz w:val="24"/>
          <w:szCs w:val="24"/>
        </w:rPr>
      </w:pPr>
      <w:r w:rsidRPr="00720EE4">
        <w:rPr>
          <w:sz w:val="24"/>
          <w:szCs w:val="24"/>
        </w:rPr>
        <w:t xml:space="preserve">This collection represents a partial duplication. </w:t>
      </w:r>
      <w:r w:rsidR="0061310E">
        <w:rPr>
          <w:sz w:val="24"/>
          <w:szCs w:val="24"/>
        </w:rPr>
        <w:t xml:space="preserve"> </w:t>
      </w:r>
      <w:r w:rsidR="003D7B9E">
        <w:rPr>
          <w:sz w:val="24"/>
          <w:szCs w:val="24"/>
        </w:rPr>
        <w:t xml:space="preserve">The </w:t>
      </w:r>
      <w:r w:rsidRPr="00720EE4" w:rsidR="005131A6">
        <w:rPr>
          <w:sz w:val="24"/>
          <w:szCs w:val="24"/>
        </w:rPr>
        <w:t>G</w:t>
      </w:r>
      <w:r w:rsidR="003D7B9E">
        <w:rPr>
          <w:sz w:val="24"/>
          <w:szCs w:val="24"/>
        </w:rPr>
        <w:t xml:space="preserve">eneral </w:t>
      </w:r>
      <w:r w:rsidRPr="00720EE4" w:rsidR="005131A6">
        <w:rPr>
          <w:sz w:val="24"/>
          <w:szCs w:val="24"/>
        </w:rPr>
        <w:t>S</w:t>
      </w:r>
      <w:r w:rsidR="003D7B9E">
        <w:rPr>
          <w:sz w:val="24"/>
          <w:szCs w:val="24"/>
        </w:rPr>
        <w:t xml:space="preserve">ervices </w:t>
      </w:r>
      <w:r w:rsidRPr="00720EE4" w:rsidR="005131A6">
        <w:rPr>
          <w:sz w:val="24"/>
          <w:szCs w:val="24"/>
        </w:rPr>
        <w:t>A</w:t>
      </w:r>
      <w:r w:rsidR="003D7B9E">
        <w:rPr>
          <w:sz w:val="24"/>
          <w:szCs w:val="24"/>
        </w:rPr>
        <w:t>dministration (GSA)</w:t>
      </w:r>
      <w:r w:rsidRPr="00720EE4" w:rsidR="005131A6">
        <w:rPr>
          <w:sz w:val="24"/>
          <w:szCs w:val="24"/>
        </w:rPr>
        <w:t xml:space="preserve"> collects and maintains response</w:t>
      </w:r>
      <w:r w:rsidRPr="00720EE4" w:rsidR="006A34B9">
        <w:rPr>
          <w:sz w:val="24"/>
          <w:szCs w:val="24"/>
        </w:rPr>
        <w:t>s</w:t>
      </w:r>
      <w:r w:rsidRPr="00720EE4" w:rsidR="005131A6">
        <w:rPr>
          <w:sz w:val="24"/>
          <w:szCs w:val="24"/>
        </w:rPr>
        <w:t xml:space="preserve"> to questions</w:t>
      </w:r>
      <w:r w:rsidR="00F75249">
        <w:rPr>
          <w:sz w:val="24"/>
          <w:szCs w:val="24"/>
        </w:rPr>
        <w:t xml:space="preserve"> similar to those</w:t>
      </w:r>
      <w:r w:rsidRPr="00720EE4" w:rsidR="005131A6">
        <w:rPr>
          <w:sz w:val="24"/>
          <w:szCs w:val="24"/>
        </w:rPr>
        <w:t xml:space="preserve"> in the “</w:t>
      </w:r>
      <w:r w:rsidR="00F75249">
        <w:rPr>
          <w:sz w:val="24"/>
          <w:szCs w:val="24"/>
        </w:rPr>
        <w:t>Annual Certification</w:t>
      </w:r>
      <w:r w:rsidRPr="00720EE4" w:rsidR="005131A6">
        <w:rPr>
          <w:sz w:val="24"/>
          <w:szCs w:val="24"/>
        </w:rPr>
        <w:t>” section above from all entities holding federal contracts</w:t>
      </w:r>
      <w:r w:rsidR="00F75249">
        <w:rPr>
          <w:sz w:val="24"/>
          <w:szCs w:val="24"/>
        </w:rPr>
        <w:t>,</w:t>
      </w:r>
      <w:r w:rsidR="004068E6">
        <w:rPr>
          <w:sz w:val="24"/>
          <w:szCs w:val="24"/>
        </w:rPr>
        <w:t xml:space="preserve"> </w:t>
      </w:r>
      <w:r w:rsidR="00F75249">
        <w:rPr>
          <w:sz w:val="24"/>
          <w:szCs w:val="24"/>
        </w:rPr>
        <w:t xml:space="preserve">regarding </w:t>
      </w:r>
      <w:r w:rsidRPr="004068E6" w:rsidR="004068E6">
        <w:rPr>
          <w:sz w:val="24"/>
          <w:szCs w:val="24"/>
        </w:rPr>
        <w:t>whether the contractor has properly developed and maintained AAPs at its establishments</w:t>
      </w:r>
      <w:r w:rsidR="00301D44">
        <w:rPr>
          <w:sz w:val="24"/>
          <w:szCs w:val="24"/>
        </w:rPr>
        <w:t>.</w:t>
      </w:r>
      <w:r w:rsidR="004068E6">
        <w:rPr>
          <w:rStyle w:val="FootnoteReference"/>
          <w:sz w:val="24"/>
          <w:szCs w:val="24"/>
        </w:rPr>
        <w:footnoteReference w:id="15"/>
      </w:r>
      <w:r w:rsidRPr="00720EE4" w:rsidR="00D62ABC">
        <w:rPr>
          <w:sz w:val="24"/>
          <w:szCs w:val="24"/>
        </w:rPr>
        <w:t xml:space="preserve">  </w:t>
      </w:r>
      <w:r w:rsidRPr="00720EE4" w:rsidR="0061310E">
        <w:rPr>
          <w:sz w:val="24"/>
          <w:szCs w:val="24"/>
        </w:rPr>
        <w:t xml:space="preserve">OFCCP </w:t>
      </w:r>
      <w:r w:rsidR="007765FB">
        <w:rPr>
          <w:sz w:val="24"/>
          <w:szCs w:val="24"/>
        </w:rPr>
        <w:t>contacted</w:t>
      </w:r>
      <w:r w:rsidRPr="00720EE4" w:rsidR="0061310E">
        <w:rPr>
          <w:sz w:val="24"/>
          <w:szCs w:val="24"/>
        </w:rPr>
        <w:t xml:space="preserve"> </w:t>
      </w:r>
      <w:r w:rsidR="0061310E">
        <w:rPr>
          <w:sz w:val="24"/>
          <w:szCs w:val="24"/>
        </w:rPr>
        <w:t xml:space="preserve">GSA </w:t>
      </w:r>
      <w:r w:rsidRPr="00720EE4" w:rsidR="0061310E">
        <w:rPr>
          <w:sz w:val="24"/>
          <w:szCs w:val="24"/>
        </w:rPr>
        <w:t xml:space="preserve">to initiate the process of </w:t>
      </w:r>
      <w:r w:rsidR="0069482C">
        <w:rPr>
          <w:sz w:val="24"/>
          <w:szCs w:val="24"/>
        </w:rPr>
        <w:t xml:space="preserve">sharing </w:t>
      </w:r>
      <w:r w:rsidR="0078537D">
        <w:rPr>
          <w:sz w:val="24"/>
          <w:szCs w:val="24"/>
        </w:rPr>
        <w:t>the</w:t>
      </w:r>
      <w:r w:rsidR="0069482C">
        <w:rPr>
          <w:sz w:val="24"/>
          <w:szCs w:val="24"/>
        </w:rPr>
        <w:t xml:space="preserve"> certification data </w:t>
      </w:r>
      <w:r w:rsidR="0078537D">
        <w:rPr>
          <w:sz w:val="24"/>
          <w:szCs w:val="24"/>
        </w:rPr>
        <w:t xml:space="preserve">that GSA collects using the </w:t>
      </w:r>
      <w:r w:rsidRPr="00720EE4" w:rsidR="0078537D">
        <w:rPr>
          <w:sz w:val="24"/>
          <w:szCs w:val="24"/>
        </w:rPr>
        <w:t>System for Award Management (SAM)</w:t>
      </w:r>
      <w:r w:rsidR="0078537D">
        <w:rPr>
          <w:sz w:val="24"/>
          <w:szCs w:val="24"/>
        </w:rPr>
        <w:t>,</w:t>
      </w:r>
      <w:r w:rsidR="0069482C">
        <w:rPr>
          <w:sz w:val="24"/>
          <w:szCs w:val="24"/>
        </w:rPr>
        <w:t xml:space="preserve"> but the</w:t>
      </w:r>
      <w:r w:rsidR="0061310E">
        <w:rPr>
          <w:sz w:val="24"/>
          <w:szCs w:val="24"/>
        </w:rPr>
        <w:t xml:space="preserve"> two agencies were not able to come to an agreement o</w:t>
      </w:r>
      <w:r w:rsidR="0069482C">
        <w:rPr>
          <w:sz w:val="24"/>
          <w:szCs w:val="24"/>
        </w:rPr>
        <w:t>n sharing this data</w:t>
      </w:r>
      <w:r w:rsidR="0061310E">
        <w:rPr>
          <w:sz w:val="24"/>
          <w:szCs w:val="24"/>
        </w:rPr>
        <w:t>.</w:t>
      </w:r>
      <w:r w:rsidRPr="00720EE4" w:rsidR="0061310E">
        <w:rPr>
          <w:sz w:val="24"/>
          <w:szCs w:val="24"/>
        </w:rPr>
        <w:t xml:space="preserve"> </w:t>
      </w:r>
      <w:r w:rsidR="00A318BC">
        <w:rPr>
          <w:sz w:val="24"/>
          <w:szCs w:val="24"/>
        </w:rPr>
        <w:t xml:space="preserve"> </w:t>
      </w:r>
      <w:r w:rsidR="0061310E">
        <w:rPr>
          <w:sz w:val="24"/>
          <w:szCs w:val="24"/>
        </w:rPr>
        <w:t>T</w:t>
      </w:r>
      <w:r w:rsidRPr="00720EE4" w:rsidR="00D62ABC">
        <w:rPr>
          <w:sz w:val="24"/>
          <w:szCs w:val="24"/>
        </w:rPr>
        <w:t xml:space="preserve">herefore, </w:t>
      </w:r>
      <w:r w:rsidR="0061310E">
        <w:rPr>
          <w:sz w:val="24"/>
          <w:szCs w:val="24"/>
        </w:rPr>
        <w:t>OFCCP</w:t>
      </w:r>
      <w:r w:rsidRPr="00720EE4" w:rsidR="00D62ABC">
        <w:rPr>
          <w:sz w:val="24"/>
          <w:szCs w:val="24"/>
        </w:rPr>
        <w:t xml:space="preserve"> </w:t>
      </w:r>
      <w:r w:rsidR="0061310E">
        <w:rPr>
          <w:sz w:val="24"/>
          <w:szCs w:val="24"/>
        </w:rPr>
        <w:t xml:space="preserve">will </w:t>
      </w:r>
      <w:r w:rsidR="0078537D">
        <w:rPr>
          <w:sz w:val="24"/>
          <w:szCs w:val="24"/>
        </w:rPr>
        <w:t>collect</w:t>
      </w:r>
      <w:r w:rsidRPr="00720EE4" w:rsidR="0078537D">
        <w:rPr>
          <w:sz w:val="24"/>
          <w:szCs w:val="24"/>
        </w:rPr>
        <w:t xml:space="preserve"> </w:t>
      </w:r>
      <w:r w:rsidRPr="00720EE4" w:rsidR="00D62ABC">
        <w:rPr>
          <w:sz w:val="24"/>
          <w:szCs w:val="24"/>
        </w:rPr>
        <w:t xml:space="preserve">the data through </w:t>
      </w:r>
      <w:r w:rsidR="00ED2FCC">
        <w:rPr>
          <w:sz w:val="24"/>
          <w:szCs w:val="24"/>
        </w:rPr>
        <w:t>AAP-VI</w:t>
      </w:r>
      <w:r w:rsidRPr="00720EE4" w:rsidR="003B2288">
        <w:rPr>
          <w:sz w:val="24"/>
          <w:szCs w:val="24"/>
        </w:rPr>
        <w:t>, as</w:t>
      </w:r>
      <w:r w:rsidRPr="00720EE4" w:rsidR="00D62ABC">
        <w:rPr>
          <w:sz w:val="24"/>
          <w:szCs w:val="24"/>
        </w:rPr>
        <w:t xml:space="preserve"> described in this ICR. </w:t>
      </w:r>
    </w:p>
    <w:p w:rsidRPr="00720EE4" w:rsidR="00CA2C72" w:rsidP="00F1759C" w:rsidRDefault="00CA2C72" w14:paraId="7A82D178" w14:textId="77777777">
      <w:pPr>
        <w:rPr>
          <w:sz w:val="24"/>
          <w:szCs w:val="24"/>
        </w:rPr>
      </w:pPr>
    </w:p>
    <w:p w:rsidRPr="00720EE4" w:rsidR="006A34B9" w:rsidP="00F1759C" w:rsidRDefault="006A34B9" w14:paraId="07AAD9AA" w14:textId="4CFA8CD8">
      <w:pPr>
        <w:rPr>
          <w:sz w:val="24"/>
          <w:szCs w:val="24"/>
        </w:rPr>
      </w:pPr>
      <w:r w:rsidRPr="00720EE4">
        <w:rPr>
          <w:sz w:val="24"/>
          <w:szCs w:val="24"/>
        </w:rPr>
        <w:t>To eliminate duplication</w:t>
      </w:r>
      <w:r w:rsidR="0069482C">
        <w:rPr>
          <w:sz w:val="24"/>
          <w:szCs w:val="24"/>
        </w:rPr>
        <w:t xml:space="preserve"> of effort</w:t>
      </w:r>
      <w:r w:rsidRPr="00720EE4">
        <w:rPr>
          <w:sz w:val="24"/>
          <w:szCs w:val="24"/>
        </w:rPr>
        <w:t xml:space="preserve">, </w:t>
      </w:r>
      <w:r w:rsidRPr="00720EE4" w:rsidR="00CA2C72">
        <w:rPr>
          <w:sz w:val="24"/>
          <w:szCs w:val="24"/>
        </w:rPr>
        <w:t xml:space="preserve">DOL recommends </w:t>
      </w:r>
      <w:r w:rsidRPr="00720EE4" w:rsidR="00C922AA">
        <w:rPr>
          <w:sz w:val="24"/>
          <w:szCs w:val="24"/>
        </w:rPr>
        <w:t xml:space="preserve">that </w:t>
      </w:r>
      <w:r w:rsidRPr="00720EE4" w:rsidR="00CA2C72">
        <w:rPr>
          <w:sz w:val="24"/>
          <w:szCs w:val="24"/>
        </w:rPr>
        <w:t xml:space="preserve">GSA remove </w:t>
      </w:r>
      <w:r w:rsidRPr="00720EE4" w:rsidR="00C922AA">
        <w:rPr>
          <w:sz w:val="24"/>
          <w:szCs w:val="24"/>
        </w:rPr>
        <w:t>its affirmative action compliance question</w:t>
      </w:r>
      <w:r w:rsidRPr="00720EE4" w:rsidR="00F8371C">
        <w:rPr>
          <w:sz w:val="24"/>
          <w:szCs w:val="24"/>
        </w:rPr>
        <w:t xml:space="preserve"> </w:t>
      </w:r>
      <w:r w:rsidRPr="00720EE4" w:rsidR="00CA2C72">
        <w:rPr>
          <w:sz w:val="24"/>
          <w:szCs w:val="24"/>
        </w:rPr>
        <w:t>from the SAM portal</w:t>
      </w:r>
      <w:r w:rsidRPr="00720EE4" w:rsidR="00244D07">
        <w:rPr>
          <w:sz w:val="24"/>
          <w:szCs w:val="24"/>
        </w:rPr>
        <w:t>.</w:t>
      </w:r>
      <w:r w:rsidRPr="00720EE4" w:rsidR="00C922AA">
        <w:rPr>
          <w:sz w:val="24"/>
          <w:szCs w:val="24"/>
        </w:rPr>
        <w:t xml:space="preserve">  In the spirit of inter-governmental cooperation, DOL would share an AAP verification data file with GSA.</w:t>
      </w:r>
      <w:r w:rsidR="004575A2">
        <w:rPr>
          <w:sz w:val="24"/>
          <w:szCs w:val="24"/>
        </w:rPr>
        <w:t xml:space="preserve">  </w:t>
      </w:r>
      <w:r w:rsidRPr="00720EE4" w:rsidR="00CA2C72">
        <w:rPr>
          <w:sz w:val="24"/>
          <w:szCs w:val="24"/>
        </w:rPr>
        <w:t xml:space="preserve"> </w:t>
      </w:r>
      <w:r w:rsidRPr="00720EE4" w:rsidR="00244D07">
        <w:rPr>
          <w:sz w:val="24"/>
          <w:szCs w:val="24"/>
        </w:rPr>
        <w:t xml:space="preserve"> </w:t>
      </w:r>
    </w:p>
    <w:p w:rsidRPr="00720EE4" w:rsidR="006A34B9" w:rsidP="00F1759C" w:rsidRDefault="006A34B9" w14:paraId="406D05FB" w14:textId="77777777">
      <w:pPr>
        <w:rPr>
          <w:sz w:val="24"/>
          <w:szCs w:val="24"/>
        </w:rPr>
      </w:pPr>
    </w:p>
    <w:p w:rsidRPr="00720EE4" w:rsidR="00CA2C72" w:rsidP="00F1759C" w:rsidRDefault="00C922AA" w14:paraId="318B4301" w14:textId="455D16AC">
      <w:pPr>
        <w:rPr>
          <w:sz w:val="24"/>
          <w:szCs w:val="24"/>
        </w:rPr>
      </w:pPr>
      <w:r w:rsidRPr="00720EE4">
        <w:rPr>
          <w:sz w:val="24"/>
          <w:szCs w:val="24"/>
        </w:rPr>
        <w:t>Additionally, t</w:t>
      </w:r>
      <w:r w:rsidRPr="00720EE4" w:rsidR="00244D07">
        <w:rPr>
          <w:sz w:val="24"/>
          <w:szCs w:val="24"/>
        </w:rPr>
        <w:t xml:space="preserve">he current SAM system does not allow for comprehensive and informative reports.  </w:t>
      </w:r>
      <w:r w:rsidRPr="00720EE4">
        <w:rPr>
          <w:sz w:val="24"/>
          <w:szCs w:val="24"/>
        </w:rPr>
        <w:t>Even though</w:t>
      </w:r>
      <w:r w:rsidRPr="00720EE4" w:rsidR="00244D07">
        <w:rPr>
          <w:sz w:val="24"/>
          <w:szCs w:val="24"/>
        </w:rPr>
        <w:t xml:space="preserve"> GSA is upgrading </w:t>
      </w:r>
      <w:r w:rsidR="0078537D">
        <w:rPr>
          <w:sz w:val="24"/>
          <w:szCs w:val="24"/>
        </w:rPr>
        <w:t>its</w:t>
      </w:r>
      <w:r w:rsidRPr="00720EE4" w:rsidR="00244D07">
        <w:rPr>
          <w:sz w:val="24"/>
          <w:szCs w:val="24"/>
        </w:rPr>
        <w:t xml:space="preserve"> platform, the new platform will lack the capability to produce a comprehensive report that assists OFCCP in its compliance oversight. </w:t>
      </w:r>
      <w:r w:rsidRPr="00720EE4" w:rsidR="00CA2C72">
        <w:rPr>
          <w:sz w:val="24"/>
          <w:szCs w:val="24"/>
        </w:rPr>
        <w:t xml:space="preserve"> </w:t>
      </w:r>
      <w:r w:rsidRPr="00720EE4" w:rsidR="00301046">
        <w:rPr>
          <w:sz w:val="24"/>
          <w:szCs w:val="24"/>
        </w:rPr>
        <w:t>This ICR would allow OFCCP</w:t>
      </w:r>
      <w:r w:rsidR="004575A2">
        <w:rPr>
          <w:sz w:val="24"/>
          <w:szCs w:val="24"/>
        </w:rPr>
        <w:t>, the agency responsible for ensuring compliance with federal contractor AAP requirements,</w:t>
      </w:r>
      <w:r w:rsidRPr="00720EE4" w:rsidR="00301046">
        <w:rPr>
          <w:sz w:val="24"/>
          <w:szCs w:val="24"/>
        </w:rPr>
        <w:t xml:space="preserve"> to</w:t>
      </w:r>
      <w:r w:rsidRPr="00720EE4" w:rsidR="00CA2C72">
        <w:rPr>
          <w:sz w:val="24"/>
          <w:szCs w:val="24"/>
        </w:rPr>
        <w:t xml:space="preserve"> run a </w:t>
      </w:r>
      <w:r w:rsidRPr="00720EE4" w:rsidR="00244D07">
        <w:rPr>
          <w:sz w:val="24"/>
          <w:szCs w:val="24"/>
        </w:rPr>
        <w:t xml:space="preserve">comprehensive and informative </w:t>
      </w:r>
      <w:r w:rsidRPr="00720EE4" w:rsidR="00CA2C72">
        <w:rPr>
          <w:sz w:val="24"/>
          <w:szCs w:val="24"/>
        </w:rPr>
        <w:t xml:space="preserve">report identifying the AAP status of </w:t>
      </w:r>
      <w:r w:rsidRPr="00720EE4">
        <w:rPr>
          <w:sz w:val="24"/>
          <w:szCs w:val="24"/>
        </w:rPr>
        <w:t>covered federal contractors</w:t>
      </w:r>
      <w:r w:rsidRPr="00720EE4" w:rsidR="00CA2C72">
        <w:rPr>
          <w:sz w:val="24"/>
          <w:szCs w:val="24"/>
        </w:rPr>
        <w:t xml:space="preserve">. </w:t>
      </w:r>
    </w:p>
    <w:p w:rsidRPr="00720EE4" w:rsidR="00D62ABC" w:rsidP="00F1759C" w:rsidRDefault="00D62ABC" w14:paraId="46964884" w14:textId="77777777">
      <w:pPr>
        <w:rPr>
          <w:sz w:val="24"/>
          <w:szCs w:val="24"/>
        </w:rPr>
      </w:pPr>
    </w:p>
    <w:p w:rsidRPr="00720EE4" w:rsidR="00912523" w:rsidP="001139C5" w:rsidRDefault="00912523" w14:paraId="0E68D0EA" w14:textId="77777777">
      <w:pPr>
        <w:keepNext/>
        <w:rPr>
          <w:b/>
          <w:sz w:val="24"/>
          <w:szCs w:val="24"/>
        </w:rPr>
      </w:pPr>
      <w:r w:rsidRPr="00720EE4">
        <w:rPr>
          <w:b/>
          <w:sz w:val="24"/>
          <w:szCs w:val="24"/>
        </w:rPr>
        <w:t>5.  I</w:t>
      </w:r>
      <w:r w:rsidRPr="00720EE4" w:rsidR="00377386">
        <w:rPr>
          <w:b/>
          <w:sz w:val="24"/>
          <w:szCs w:val="24"/>
        </w:rPr>
        <w:t>mpact on Small Business</w:t>
      </w:r>
    </w:p>
    <w:p w:rsidRPr="00720EE4" w:rsidR="00912523" w:rsidP="001139C5" w:rsidRDefault="00912523" w14:paraId="66235621" w14:textId="77777777">
      <w:pPr>
        <w:keepNext/>
        <w:rPr>
          <w:sz w:val="24"/>
          <w:szCs w:val="24"/>
        </w:rPr>
      </w:pPr>
    </w:p>
    <w:p w:rsidRPr="00720EE4" w:rsidR="00E575EC" w:rsidP="001139C5" w:rsidRDefault="00E575EC" w14:paraId="74AC27DF" w14:textId="77777777">
      <w:pPr>
        <w:keepNext/>
        <w:tabs>
          <w:tab w:val="left" w:pos="630"/>
        </w:tabs>
        <w:rPr>
          <w:sz w:val="24"/>
          <w:szCs w:val="24"/>
        </w:rPr>
      </w:pPr>
      <w:r w:rsidRPr="00720EE4">
        <w:rPr>
          <w:sz w:val="24"/>
          <w:szCs w:val="24"/>
        </w:rPr>
        <w:t>OFCCP minimizes the information collection and recordkeeping burden on a significant number of small businesses, as listed below.</w:t>
      </w:r>
    </w:p>
    <w:p w:rsidRPr="00720EE4" w:rsidR="00FE599C" w:rsidP="00E575EC" w:rsidRDefault="00FE599C" w14:paraId="0B8287D5" w14:textId="77777777">
      <w:pPr>
        <w:tabs>
          <w:tab w:val="left" w:pos="630"/>
        </w:tabs>
        <w:rPr>
          <w:sz w:val="24"/>
          <w:szCs w:val="24"/>
        </w:rPr>
      </w:pPr>
    </w:p>
    <w:p w:rsidRPr="00720EE4" w:rsidR="00E575EC" w:rsidP="00720EE4" w:rsidRDefault="00E575EC" w14:paraId="29A1A68F" w14:textId="77777777">
      <w:pPr>
        <w:pStyle w:val="ListParagraph"/>
        <w:numPr>
          <w:ilvl w:val="0"/>
          <w:numId w:val="26"/>
        </w:numPr>
        <w:tabs>
          <w:tab w:val="left" w:pos="-720"/>
        </w:tabs>
        <w:rPr>
          <w:color w:val="000000"/>
          <w:sz w:val="24"/>
          <w:szCs w:val="24"/>
        </w:rPr>
      </w:pPr>
      <w:r w:rsidRPr="00720EE4">
        <w:rPr>
          <w:color w:val="000000"/>
          <w:sz w:val="24"/>
          <w:szCs w:val="24"/>
        </w:rPr>
        <w:lastRenderedPageBreak/>
        <w:t xml:space="preserve">Contractors with fewer than 50 employees are exempt from </w:t>
      </w:r>
      <w:r w:rsidRPr="00720EE4" w:rsidR="003746DD">
        <w:rPr>
          <w:color w:val="000000"/>
          <w:sz w:val="24"/>
          <w:szCs w:val="24"/>
        </w:rPr>
        <w:t xml:space="preserve">the </w:t>
      </w:r>
      <w:r w:rsidRPr="00720EE4">
        <w:rPr>
          <w:color w:val="000000"/>
          <w:sz w:val="24"/>
          <w:szCs w:val="24"/>
        </w:rPr>
        <w:t>AAP requirement</w:t>
      </w:r>
      <w:r w:rsidRPr="00720EE4" w:rsidR="00EE1BB3">
        <w:rPr>
          <w:color w:val="000000"/>
          <w:sz w:val="24"/>
          <w:szCs w:val="24"/>
        </w:rPr>
        <w:t>, and would have no additional burden under this information collection</w:t>
      </w:r>
      <w:r w:rsidRPr="00720EE4" w:rsidR="002A303D">
        <w:rPr>
          <w:color w:val="000000"/>
          <w:sz w:val="24"/>
          <w:szCs w:val="24"/>
        </w:rPr>
        <w:t>.</w:t>
      </w:r>
      <w:r w:rsidRPr="00720EE4">
        <w:rPr>
          <w:color w:val="000000"/>
          <w:sz w:val="24"/>
          <w:szCs w:val="24"/>
        </w:rPr>
        <w:t xml:space="preserve"> </w:t>
      </w:r>
    </w:p>
    <w:p w:rsidR="007B13E8" w:rsidP="00720EE4" w:rsidRDefault="007B13E8" w14:paraId="397F8DEC" w14:textId="7F7C6D9D">
      <w:pPr>
        <w:pStyle w:val="ListParagraph"/>
        <w:numPr>
          <w:ilvl w:val="0"/>
          <w:numId w:val="26"/>
        </w:numPr>
        <w:tabs>
          <w:tab w:val="left" w:pos="-720"/>
        </w:tabs>
        <w:rPr>
          <w:color w:val="000000"/>
          <w:sz w:val="24"/>
          <w:szCs w:val="24"/>
        </w:rPr>
      </w:pPr>
      <w:r w:rsidRPr="00720EE4">
        <w:rPr>
          <w:color w:val="000000"/>
          <w:sz w:val="24"/>
          <w:szCs w:val="24"/>
        </w:rPr>
        <w:t>The portal will require minimal resources from contractor</w:t>
      </w:r>
      <w:r w:rsidRPr="00720EE4" w:rsidR="00667774">
        <w:rPr>
          <w:color w:val="000000"/>
          <w:sz w:val="24"/>
          <w:szCs w:val="24"/>
        </w:rPr>
        <w:t>s</w:t>
      </w:r>
      <w:r w:rsidRPr="00720EE4" w:rsidR="009B314B">
        <w:rPr>
          <w:color w:val="000000"/>
          <w:sz w:val="24"/>
          <w:szCs w:val="24"/>
        </w:rPr>
        <w:t>,</w:t>
      </w:r>
      <w:r w:rsidRPr="00720EE4">
        <w:rPr>
          <w:color w:val="000000"/>
          <w:sz w:val="24"/>
          <w:szCs w:val="24"/>
        </w:rPr>
        <w:t xml:space="preserve"> and</w:t>
      </w:r>
      <w:r w:rsidRPr="00720EE4" w:rsidR="00667774">
        <w:rPr>
          <w:color w:val="000000"/>
          <w:sz w:val="24"/>
          <w:szCs w:val="24"/>
        </w:rPr>
        <w:t xml:space="preserve"> OFCCP</w:t>
      </w:r>
      <w:r w:rsidRPr="00720EE4" w:rsidR="00300DD8">
        <w:rPr>
          <w:color w:val="000000"/>
          <w:sz w:val="24"/>
          <w:szCs w:val="24"/>
        </w:rPr>
        <w:t xml:space="preserve"> will</w:t>
      </w:r>
      <w:r w:rsidRPr="00720EE4" w:rsidR="00667774">
        <w:rPr>
          <w:color w:val="000000"/>
          <w:sz w:val="24"/>
          <w:szCs w:val="24"/>
        </w:rPr>
        <w:t xml:space="preserve"> ensure that it is easy to </w:t>
      </w:r>
      <w:r w:rsidRPr="0078537D" w:rsidR="00667774">
        <w:rPr>
          <w:color w:val="000000"/>
          <w:sz w:val="24"/>
          <w:szCs w:val="24"/>
        </w:rPr>
        <w:t xml:space="preserve">use </w:t>
      </w:r>
      <w:r w:rsidRPr="00C51042" w:rsidR="00A5730A">
        <w:rPr>
          <w:color w:val="000000"/>
          <w:sz w:val="24"/>
          <w:szCs w:val="24"/>
        </w:rPr>
        <w:t>and</w:t>
      </w:r>
      <w:r w:rsidRPr="0078537D">
        <w:rPr>
          <w:color w:val="000000"/>
          <w:sz w:val="24"/>
          <w:szCs w:val="24"/>
        </w:rPr>
        <w:t xml:space="preserve"> </w:t>
      </w:r>
      <w:r w:rsidRPr="0078537D" w:rsidR="009B314B">
        <w:rPr>
          <w:color w:val="000000"/>
          <w:sz w:val="24"/>
          <w:szCs w:val="24"/>
        </w:rPr>
        <w:t>accessible</w:t>
      </w:r>
      <w:r w:rsidRPr="00720EE4" w:rsidR="009B314B">
        <w:rPr>
          <w:color w:val="000000"/>
          <w:sz w:val="24"/>
          <w:szCs w:val="24"/>
        </w:rPr>
        <w:t xml:space="preserve"> </w:t>
      </w:r>
      <w:r w:rsidRPr="00720EE4">
        <w:rPr>
          <w:color w:val="000000"/>
          <w:sz w:val="24"/>
          <w:szCs w:val="24"/>
        </w:rPr>
        <w:t>for small contractors.</w:t>
      </w:r>
    </w:p>
    <w:p w:rsidRPr="00720EE4" w:rsidR="00EE606D" w:rsidP="00FB35ED" w:rsidRDefault="00EE606D" w14:paraId="6D7465A2" w14:textId="77777777">
      <w:pPr>
        <w:rPr>
          <w:sz w:val="24"/>
          <w:szCs w:val="24"/>
        </w:rPr>
      </w:pPr>
    </w:p>
    <w:p w:rsidRPr="00720EE4" w:rsidR="00912523" w:rsidP="00912523" w:rsidRDefault="00912523" w14:paraId="256BDBF5" w14:textId="1756BBA8">
      <w:pPr>
        <w:tabs>
          <w:tab w:val="left" w:pos="630"/>
        </w:tabs>
        <w:rPr>
          <w:b/>
          <w:sz w:val="24"/>
          <w:szCs w:val="24"/>
        </w:rPr>
      </w:pPr>
      <w:r w:rsidRPr="00720EE4">
        <w:rPr>
          <w:b/>
          <w:sz w:val="24"/>
          <w:szCs w:val="24"/>
        </w:rPr>
        <w:t xml:space="preserve">6.  </w:t>
      </w:r>
      <w:r w:rsidRPr="00720EE4" w:rsidR="00377386">
        <w:rPr>
          <w:b/>
          <w:sz w:val="24"/>
          <w:szCs w:val="24"/>
        </w:rPr>
        <w:t>Consequences of Less Frequent Collection</w:t>
      </w:r>
      <w:r w:rsidRPr="00720EE4">
        <w:rPr>
          <w:b/>
          <w:sz w:val="24"/>
          <w:szCs w:val="24"/>
        </w:rPr>
        <w:t xml:space="preserve"> </w:t>
      </w:r>
    </w:p>
    <w:p w:rsidRPr="00720EE4" w:rsidR="00F953CF" w:rsidP="00912523" w:rsidRDefault="00F953CF" w14:paraId="35E21342" w14:textId="77777777">
      <w:pPr>
        <w:tabs>
          <w:tab w:val="left" w:pos="630"/>
        </w:tabs>
        <w:rPr>
          <w:sz w:val="24"/>
          <w:szCs w:val="24"/>
        </w:rPr>
      </w:pPr>
    </w:p>
    <w:p w:rsidRPr="00720EE4" w:rsidR="00F953CF" w:rsidP="00912523" w:rsidRDefault="00D93D89" w14:paraId="3D0988DE" w14:textId="76FCE363">
      <w:pPr>
        <w:tabs>
          <w:tab w:val="left" w:pos="630"/>
        </w:tabs>
        <w:rPr>
          <w:sz w:val="24"/>
          <w:szCs w:val="24"/>
        </w:rPr>
      </w:pPr>
      <w:r w:rsidRPr="00720EE4">
        <w:rPr>
          <w:sz w:val="24"/>
          <w:szCs w:val="24"/>
        </w:rPr>
        <w:t xml:space="preserve">The </w:t>
      </w:r>
      <w:r w:rsidRPr="00720EE4" w:rsidR="009D72FD">
        <w:rPr>
          <w:sz w:val="24"/>
          <w:szCs w:val="24"/>
        </w:rPr>
        <w:t xml:space="preserve">2016 </w:t>
      </w:r>
      <w:r w:rsidRPr="00720EE4" w:rsidR="00696DD5">
        <w:rPr>
          <w:sz w:val="24"/>
          <w:szCs w:val="24"/>
        </w:rPr>
        <w:t>GAO</w:t>
      </w:r>
      <w:r w:rsidRPr="00720EE4" w:rsidR="00C0720D">
        <w:rPr>
          <w:sz w:val="24"/>
          <w:szCs w:val="24"/>
        </w:rPr>
        <w:t xml:space="preserve"> </w:t>
      </w:r>
      <w:r w:rsidRPr="00720EE4">
        <w:rPr>
          <w:sz w:val="24"/>
          <w:szCs w:val="24"/>
        </w:rPr>
        <w:t xml:space="preserve">report </w:t>
      </w:r>
      <w:r w:rsidRPr="00720EE4" w:rsidR="00696DD5">
        <w:rPr>
          <w:sz w:val="24"/>
          <w:szCs w:val="24"/>
        </w:rPr>
        <w:t>indicated that OFCCP historically conducted compliance evaluations</w:t>
      </w:r>
      <w:r w:rsidRPr="00720EE4" w:rsidR="00C563E4">
        <w:rPr>
          <w:sz w:val="24"/>
          <w:szCs w:val="24"/>
        </w:rPr>
        <w:t xml:space="preserve"> and collected AAPs</w:t>
      </w:r>
      <w:r w:rsidRPr="00720EE4" w:rsidR="00696DD5">
        <w:rPr>
          <w:sz w:val="24"/>
          <w:szCs w:val="24"/>
        </w:rPr>
        <w:t xml:space="preserve"> </w:t>
      </w:r>
      <w:r w:rsidRPr="00720EE4" w:rsidR="00357276">
        <w:rPr>
          <w:sz w:val="24"/>
          <w:szCs w:val="24"/>
        </w:rPr>
        <w:t xml:space="preserve">annually </w:t>
      </w:r>
      <w:r w:rsidRPr="00720EE4" w:rsidR="00696DD5">
        <w:rPr>
          <w:sz w:val="24"/>
          <w:szCs w:val="24"/>
        </w:rPr>
        <w:t xml:space="preserve">for </w:t>
      </w:r>
      <w:r w:rsidRPr="00720EE4" w:rsidR="003F58D1">
        <w:rPr>
          <w:sz w:val="24"/>
          <w:szCs w:val="24"/>
        </w:rPr>
        <w:t xml:space="preserve">about </w:t>
      </w:r>
      <w:r w:rsidR="00357276">
        <w:rPr>
          <w:sz w:val="24"/>
          <w:szCs w:val="24"/>
        </w:rPr>
        <w:t>two</w:t>
      </w:r>
      <w:r w:rsidRPr="00720EE4" w:rsidR="00357276">
        <w:rPr>
          <w:sz w:val="24"/>
          <w:szCs w:val="24"/>
        </w:rPr>
        <w:t xml:space="preserve"> </w:t>
      </w:r>
      <w:r w:rsidRPr="00720EE4" w:rsidR="00696DD5">
        <w:rPr>
          <w:sz w:val="24"/>
          <w:szCs w:val="24"/>
        </w:rPr>
        <w:t>percent of all contractors in its jurisdiction</w:t>
      </w:r>
      <w:r w:rsidRPr="00720EE4" w:rsidR="00050F59">
        <w:rPr>
          <w:sz w:val="24"/>
          <w:szCs w:val="24"/>
        </w:rPr>
        <w:t>.</w:t>
      </w:r>
      <w:r w:rsidRPr="00720EE4" w:rsidR="009C7BDF">
        <w:rPr>
          <w:rStyle w:val="FootnoteReference"/>
          <w:sz w:val="24"/>
          <w:szCs w:val="24"/>
        </w:rPr>
        <w:footnoteReference w:id="16"/>
      </w:r>
      <w:r w:rsidRPr="00720EE4" w:rsidR="00696DD5">
        <w:rPr>
          <w:sz w:val="24"/>
          <w:szCs w:val="24"/>
        </w:rPr>
        <w:t xml:space="preserve"> </w:t>
      </w:r>
      <w:r w:rsidRPr="00720EE4" w:rsidR="00050F59">
        <w:rPr>
          <w:sz w:val="24"/>
          <w:szCs w:val="24"/>
        </w:rPr>
        <w:t xml:space="preserve"> </w:t>
      </w:r>
      <w:r w:rsidRPr="00720EE4" w:rsidR="00907FF4">
        <w:rPr>
          <w:sz w:val="24"/>
          <w:szCs w:val="24"/>
        </w:rPr>
        <w:t>Due to this limitation, GAO stated that</w:t>
      </w:r>
      <w:r w:rsidRPr="00720EE4" w:rsidR="00050F59">
        <w:rPr>
          <w:sz w:val="24"/>
          <w:szCs w:val="24"/>
        </w:rPr>
        <w:t xml:space="preserve"> </w:t>
      </w:r>
      <w:r w:rsidRPr="00720EE4" w:rsidR="00696DD5">
        <w:rPr>
          <w:sz w:val="24"/>
          <w:szCs w:val="24"/>
        </w:rPr>
        <w:t>OFCCP is unable to determine the extent</w:t>
      </w:r>
      <w:r w:rsidRPr="00720EE4" w:rsidR="003B2288">
        <w:rPr>
          <w:sz w:val="24"/>
          <w:szCs w:val="24"/>
        </w:rPr>
        <w:t xml:space="preserve"> to which</w:t>
      </w:r>
      <w:r w:rsidRPr="00720EE4" w:rsidR="00696DD5">
        <w:rPr>
          <w:sz w:val="24"/>
          <w:szCs w:val="24"/>
        </w:rPr>
        <w:t xml:space="preserve"> </w:t>
      </w:r>
      <w:r w:rsidRPr="00720EE4" w:rsidR="00907FF4">
        <w:rPr>
          <w:sz w:val="24"/>
          <w:szCs w:val="24"/>
        </w:rPr>
        <w:t xml:space="preserve">all </w:t>
      </w:r>
      <w:r w:rsidRPr="00720EE4" w:rsidR="00696DD5">
        <w:rPr>
          <w:sz w:val="24"/>
          <w:szCs w:val="24"/>
        </w:rPr>
        <w:t xml:space="preserve">contractors are complying with equal employment opportunity requirements. </w:t>
      </w:r>
      <w:r w:rsidRPr="00720EE4" w:rsidR="001F64A5">
        <w:rPr>
          <w:sz w:val="24"/>
          <w:szCs w:val="24"/>
        </w:rPr>
        <w:t xml:space="preserve"> </w:t>
      </w:r>
      <w:r w:rsidRPr="00720EE4" w:rsidR="00696DD5">
        <w:rPr>
          <w:sz w:val="24"/>
          <w:szCs w:val="24"/>
        </w:rPr>
        <w:t xml:space="preserve">Instead, </w:t>
      </w:r>
      <w:r w:rsidRPr="00720EE4" w:rsidR="003B2288">
        <w:rPr>
          <w:sz w:val="24"/>
          <w:szCs w:val="24"/>
        </w:rPr>
        <w:t xml:space="preserve">the report pointed out that </w:t>
      </w:r>
      <w:r w:rsidRPr="00720EE4" w:rsidR="00696DD5">
        <w:rPr>
          <w:sz w:val="24"/>
          <w:szCs w:val="24"/>
        </w:rPr>
        <w:t>OFCCP relies on contractors to comply with equal employment opportunity requirements, and some contractors may not be completing certain required activities.</w:t>
      </w:r>
      <w:r w:rsidRPr="00720EE4" w:rsidR="00696DD5">
        <w:rPr>
          <w:rStyle w:val="FootnoteReference"/>
          <w:sz w:val="24"/>
          <w:szCs w:val="24"/>
        </w:rPr>
        <w:footnoteReference w:id="17"/>
      </w:r>
    </w:p>
    <w:p w:rsidRPr="00720EE4" w:rsidR="00437BAD" w:rsidP="00912523" w:rsidRDefault="00437BAD" w14:paraId="31D487D6" w14:textId="77777777">
      <w:pPr>
        <w:tabs>
          <w:tab w:val="left" w:pos="630"/>
        </w:tabs>
        <w:rPr>
          <w:sz w:val="24"/>
          <w:szCs w:val="24"/>
        </w:rPr>
      </w:pPr>
    </w:p>
    <w:p w:rsidRPr="00720EE4" w:rsidR="00437BAD" w:rsidP="00437BAD" w:rsidRDefault="008037B2" w14:paraId="416BF8C1" w14:textId="77777777">
      <w:pPr>
        <w:tabs>
          <w:tab w:val="left" w:pos="630"/>
        </w:tabs>
        <w:rPr>
          <w:sz w:val="24"/>
          <w:szCs w:val="24"/>
        </w:rPr>
      </w:pPr>
      <w:r>
        <w:rPr>
          <w:sz w:val="24"/>
          <w:szCs w:val="24"/>
        </w:rPr>
        <w:t xml:space="preserve">Without the data collection being proposed in this ICR, OFCCP will continue to lack the ability and resources to ensure AAP compliance by all contractors. </w:t>
      </w:r>
    </w:p>
    <w:p w:rsidRPr="00720EE4" w:rsidR="00912523" w:rsidP="00912523" w:rsidRDefault="00912523" w14:paraId="6632E00C" w14:textId="77777777">
      <w:pPr>
        <w:tabs>
          <w:tab w:val="left" w:pos="630"/>
        </w:tabs>
        <w:rPr>
          <w:b/>
          <w:sz w:val="24"/>
          <w:szCs w:val="24"/>
        </w:rPr>
      </w:pPr>
    </w:p>
    <w:p w:rsidRPr="00720EE4" w:rsidR="00912523" w:rsidP="00912523" w:rsidRDefault="00912523" w14:paraId="48CA27B1" w14:textId="77777777">
      <w:pPr>
        <w:pStyle w:val="BodyText"/>
        <w:rPr>
          <w:rFonts w:ascii="Times New Roman" w:hAnsi="Times New Roman"/>
          <w:b/>
          <w:szCs w:val="24"/>
        </w:rPr>
      </w:pPr>
      <w:r w:rsidRPr="00720EE4">
        <w:rPr>
          <w:rFonts w:ascii="Times New Roman" w:hAnsi="Times New Roman"/>
          <w:b/>
          <w:szCs w:val="24"/>
        </w:rPr>
        <w:t xml:space="preserve">7.  </w:t>
      </w:r>
      <w:r w:rsidRPr="00720EE4" w:rsidR="00377386">
        <w:rPr>
          <w:rFonts w:ascii="Times New Roman" w:hAnsi="Times New Roman"/>
          <w:b/>
          <w:szCs w:val="24"/>
        </w:rPr>
        <w:t>Special Circumstances</w:t>
      </w:r>
    </w:p>
    <w:p w:rsidRPr="00720EE4" w:rsidR="00912523" w:rsidP="00912523" w:rsidRDefault="00912523" w14:paraId="0E618A65" w14:textId="77777777">
      <w:pPr>
        <w:rPr>
          <w:sz w:val="24"/>
          <w:szCs w:val="24"/>
        </w:rPr>
      </w:pPr>
    </w:p>
    <w:p w:rsidRPr="00720EE4" w:rsidR="00912523" w:rsidP="00912523" w:rsidRDefault="005174C5" w14:paraId="4F06F70B" w14:textId="4E94580C">
      <w:pPr>
        <w:rPr>
          <w:sz w:val="24"/>
          <w:szCs w:val="24"/>
        </w:rPr>
      </w:pPr>
      <w:r>
        <w:rPr>
          <w:sz w:val="24"/>
          <w:szCs w:val="24"/>
        </w:rPr>
        <w:t>This c</w:t>
      </w:r>
      <w:r w:rsidRPr="00720EE4">
        <w:rPr>
          <w:sz w:val="24"/>
          <w:szCs w:val="24"/>
        </w:rPr>
        <w:t xml:space="preserve">ollection </w:t>
      </w:r>
      <w:r w:rsidRPr="00720EE4" w:rsidR="00912523">
        <w:rPr>
          <w:sz w:val="24"/>
          <w:szCs w:val="24"/>
        </w:rPr>
        <w:t>is consistent with the guidelines in 5 CFR 1320.6.</w:t>
      </w:r>
    </w:p>
    <w:p w:rsidRPr="00720EE4" w:rsidR="00912523" w:rsidP="00912523" w:rsidRDefault="00912523" w14:paraId="59403D3B" w14:textId="77777777">
      <w:pPr>
        <w:rPr>
          <w:b/>
          <w:bCs/>
          <w:sz w:val="24"/>
        </w:rPr>
      </w:pPr>
    </w:p>
    <w:p w:rsidRPr="00720EE4" w:rsidR="00912523" w:rsidP="001139C5" w:rsidRDefault="00912523" w14:paraId="1079F147" w14:textId="77777777">
      <w:pPr>
        <w:keepNext/>
        <w:rPr>
          <w:b/>
          <w:sz w:val="24"/>
        </w:rPr>
      </w:pPr>
      <w:r w:rsidRPr="00720EE4">
        <w:rPr>
          <w:b/>
          <w:bCs/>
          <w:sz w:val="24"/>
        </w:rPr>
        <w:t>8.</w:t>
      </w:r>
      <w:r w:rsidRPr="00720EE4">
        <w:rPr>
          <w:b/>
          <w:sz w:val="24"/>
        </w:rPr>
        <w:t xml:space="preserve">  </w:t>
      </w:r>
      <w:r w:rsidRPr="00720EE4" w:rsidR="00377386">
        <w:rPr>
          <w:b/>
          <w:sz w:val="24"/>
        </w:rPr>
        <w:t>Consultation Outside the Agency</w:t>
      </w:r>
    </w:p>
    <w:p w:rsidRPr="00720EE4" w:rsidR="00912523" w:rsidP="001139C5" w:rsidRDefault="00912523" w14:paraId="3129F966" w14:textId="77777777">
      <w:pPr>
        <w:keepNext/>
        <w:rPr>
          <w:b/>
          <w:sz w:val="24"/>
        </w:rPr>
      </w:pPr>
    </w:p>
    <w:p w:rsidR="0022346E" w:rsidP="005653BC" w:rsidRDefault="00377386" w14:paraId="4AADEA1B" w14:textId="364E6111">
      <w:pPr>
        <w:rPr>
          <w:sz w:val="24"/>
          <w:szCs w:val="24"/>
        </w:rPr>
      </w:pPr>
      <w:r w:rsidRPr="00720EE4">
        <w:rPr>
          <w:sz w:val="24"/>
          <w:szCs w:val="24"/>
        </w:rPr>
        <w:t xml:space="preserve">Pursuant to the Paperwork Reduction Act of 1995, as amended (PRA), OFCCP invites the public to submit comments on this proposed information collection. </w:t>
      </w:r>
      <w:r w:rsidRPr="00720EE4" w:rsidR="00387390">
        <w:rPr>
          <w:sz w:val="24"/>
          <w:szCs w:val="24"/>
        </w:rPr>
        <w:t xml:space="preserve"> </w:t>
      </w:r>
      <w:r w:rsidRPr="00720EE4">
        <w:rPr>
          <w:sz w:val="24"/>
          <w:szCs w:val="24"/>
        </w:rPr>
        <w:t xml:space="preserve">The comments the agency receives will be addressed under this paragraph during </w:t>
      </w:r>
      <w:r w:rsidR="005174C5">
        <w:rPr>
          <w:sz w:val="24"/>
          <w:szCs w:val="24"/>
        </w:rPr>
        <w:t>a subsequent</w:t>
      </w:r>
      <w:r w:rsidRPr="00720EE4" w:rsidR="005174C5">
        <w:rPr>
          <w:sz w:val="24"/>
          <w:szCs w:val="24"/>
        </w:rPr>
        <w:t xml:space="preserve"> </w:t>
      </w:r>
      <w:r w:rsidRPr="00720EE4">
        <w:rPr>
          <w:sz w:val="24"/>
          <w:szCs w:val="24"/>
        </w:rPr>
        <w:t xml:space="preserve">30-day </w:t>
      </w:r>
      <w:r w:rsidR="005174C5">
        <w:rPr>
          <w:sz w:val="24"/>
          <w:szCs w:val="24"/>
        </w:rPr>
        <w:t>public comment period</w:t>
      </w:r>
      <w:r w:rsidRPr="00720EE4">
        <w:rPr>
          <w:sz w:val="24"/>
          <w:szCs w:val="24"/>
        </w:rPr>
        <w:t xml:space="preserve">. </w:t>
      </w:r>
      <w:r w:rsidR="0079727C">
        <w:rPr>
          <w:sz w:val="24"/>
          <w:szCs w:val="24"/>
        </w:rPr>
        <w:t xml:space="preserve"> </w:t>
      </w:r>
      <w:r w:rsidR="0022346E">
        <w:rPr>
          <w:sz w:val="24"/>
          <w:szCs w:val="24"/>
        </w:rPr>
        <w:t>Although OFCCP believes that the process detailed above provides the most effective compromise between the needs of the agency and the needs of the contractors, the agency seeks input on the following alternate options:</w:t>
      </w:r>
    </w:p>
    <w:p w:rsidRPr="0022346E" w:rsidR="0022346E" w:rsidP="005653BC" w:rsidRDefault="0022346E" w14:paraId="4768B1E4" w14:textId="56108B9E">
      <w:pPr>
        <w:rPr>
          <w:sz w:val="24"/>
          <w:szCs w:val="24"/>
        </w:rPr>
      </w:pPr>
    </w:p>
    <w:p w:rsidR="00EB68BC" w:rsidP="00C51042" w:rsidRDefault="0022346E" w14:paraId="4B8CEF0D" w14:textId="18648C8F">
      <w:pPr>
        <w:pStyle w:val="ListParagraph"/>
        <w:numPr>
          <w:ilvl w:val="0"/>
          <w:numId w:val="36"/>
        </w:numPr>
        <w:ind w:left="720"/>
        <w:rPr>
          <w:sz w:val="24"/>
          <w:szCs w:val="24"/>
        </w:rPr>
      </w:pPr>
      <w:r w:rsidRPr="00C51042">
        <w:rPr>
          <w:sz w:val="24"/>
          <w:szCs w:val="24"/>
        </w:rPr>
        <w:t xml:space="preserve">Option 1:  </w:t>
      </w:r>
      <w:r w:rsidRPr="00C51042" w:rsidR="00EB68BC">
        <w:rPr>
          <w:sz w:val="24"/>
          <w:szCs w:val="24"/>
        </w:rPr>
        <w:t>All contractors would be required to certify annually</w:t>
      </w:r>
      <w:r w:rsidR="00EB68BC">
        <w:rPr>
          <w:sz w:val="24"/>
          <w:szCs w:val="24"/>
        </w:rPr>
        <w:t>.  Contractors who are scheduled for a compliance evaluation will submit their AAPs as they currently do, via email or a delivery service</w:t>
      </w:r>
      <w:r w:rsidRPr="00C51042" w:rsidR="00EB68BC">
        <w:rPr>
          <w:sz w:val="24"/>
          <w:szCs w:val="24"/>
        </w:rPr>
        <w:t>.  The total burden in the first year is 4</w:t>
      </w:r>
      <w:r w:rsidR="00CB6208">
        <w:rPr>
          <w:sz w:val="24"/>
          <w:szCs w:val="24"/>
        </w:rPr>
        <w:t>6,759</w:t>
      </w:r>
      <w:r w:rsidRPr="00C51042" w:rsidR="00EB68BC">
        <w:rPr>
          <w:sz w:val="24"/>
          <w:szCs w:val="24"/>
        </w:rPr>
        <w:t xml:space="preserve"> hours at a monetary cost of $3,</w:t>
      </w:r>
      <w:r w:rsidR="00CB6208">
        <w:rPr>
          <w:sz w:val="24"/>
          <w:szCs w:val="24"/>
        </w:rPr>
        <w:t>359,634</w:t>
      </w:r>
      <w:r w:rsidRPr="00C51042" w:rsidR="00EB68BC">
        <w:rPr>
          <w:sz w:val="24"/>
          <w:szCs w:val="24"/>
        </w:rPr>
        <w:t>.  The annual burden in subsequent years is 1</w:t>
      </w:r>
      <w:r w:rsidR="00CB6208">
        <w:rPr>
          <w:sz w:val="24"/>
          <w:szCs w:val="24"/>
        </w:rPr>
        <w:t>2,041</w:t>
      </w:r>
      <w:r w:rsidRPr="00C51042" w:rsidR="00EB68BC">
        <w:rPr>
          <w:sz w:val="24"/>
          <w:szCs w:val="24"/>
        </w:rPr>
        <w:t xml:space="preserve"> hours at a monetary cost of $</w:t>
      </w:r>
      <w:r w:rsidR="00CB6208">
        <w:rPr>
          <w:sz w:val="24"/>
          <w:szCs w:val="24"/>
        </w:rPr>
        <w:t>865,146.</w:t>
      </w:r>
    </w:p>
    <w:p w:rsidR="004671DD" w:rsidP="0093138F" w:rsidRDefault="004671DD" w14:paraId="50C2C879" w14:textId="77777777">
      <w:pPr>
        <w:pStyle w:val="ListParagraph"/>
        <w:rPr>
          <w:sz w:val="24"/>
          <w:szCs w:val="24"/>
        </w:rPr>
      </w:pPr>
    </w:p>
    <w:p w:rsidR="00016350" w:rsidP="00C51042" w:rsidRDefault="00EB68BC" w14:paraId="3E09776E" w14:textId="77777777">
      <w:pPr>
        <w:pStyle w:val="ListParagraph"/>
        <w:numPr>
          <w:ilvl w:val="0"/>
          <w:numId w:val="36"/>
        </w:numPr>
        <w:ind w:left="720"/>
        <w:rPr>
          <w:sz w:val="24"/>
          <w:szCs w:val="24"/>
        </w:rPr>
      </w:pPr>
      <w:r>
        <w:rPr>
          <w:sz w:val="24"/>
          <w:szCs w:val="24"/>
        </w:rPr>
        <w:t xml:space="preserve">Option 2:  </w:t>
      </w:r>
      <w:r w:rsidRPr="00C51042" w:rsidR="0022346E">
        <w:rPr>
          <w:sz w:val="24"/>
          <w:szCs w:val="24"/>
        </w:rPr>
        <w:t>All contractors would be required to certify and upload their AAPs on an annual basis.</w:t>
      </w:r>
      <w:r w:rsidRPr="00C51042" w:rsidR="00880CDA">
        <w:rPr>
          <w:sz w:val="24"/>
          <w:szCs w:val="24"/>
        </w:rPr>
        <w:t xml:space="preserve">  </w:t>
      </w:r>
      <w:r w:rsidRPr="00C51042" w:rsidR="00F04255">
        <w:rPr>
          <w:sz w:val="24"/>
          <w:szCs w:val="24"/>
        </w:rPr>
        <w:t xml:space="preserve">The total burden in the first year is </w:t>
      </w:r>
      <w:r w:rsidR="00CB6208">
        <w:rPr>
          <w:sz w:val="24"/>
          <w:szCs w:val="24"/>
        </w:rPr>
        <w:t>70,139</w:t>
      </w:r>
      <w:r w:rsidRPr="00C51042" w:rsidR="00F04255">
        <w:rPr>
          <w:sz w:val="24"/>
          <w:szCs w:val="24"/>
        </w:rPr>
        <w:t xml:space="preserve"> hours at a monetary cost of $</w:t>
      </w:r>
      <w:r w:rsidR="00CB6208">
        <w:rPr>
          <w:sz w:val="24"/>
          <w:szCs w:val="24"/>
        </w:rPr>
        <w:t>5,039,487</w:t>
      </w:r>
      <w:r w:rsidRPr="00C51042" w:rsidR="00F04255">
        <w:rPr>
          <w:sz w:val="24"/>
          <w:szCs w:val="24"/>
        </w:rPr>
        <w:t>.  The annual burden in subsequent years is 3</w:t>
      </w:r>
      <w:r w:rsidR="00CB6208">
        <w:rPr>
          <w:sz w:val="24"/>
          <w:szCs w:val="24"/>
        </w:rPr>
        <w:t>5,421</w:t>
      </w:r>
      <w:r w:rsidRPr="00C51042" w:rsidR="00F04255">
        <w:rPr>
          <w:sz w:val="24"/>
          <w:szCs w:val="24"/>
        </w:rPr>
        <w:t xml:space="preserve"> hours at a monetary cost of $2,</w:t>
      </w:r>
      <w:r w:rsidR="00CB6208">
        <w:rPr>
          <w:sz w:val="24"/>
          <w:szCs w:val="24"/>
        </w:rPr>
        <w:t>544,999</w:t>
      </w:r>
      <w:r w:rsidRPr="00C51042" w:rsidR="00F04255">
        <w:rPr>
          <w:sz w:val="24"/>
          <w:szCs w:val="24"/>
        </w:rPr>
        <w:t xml:space="preserve">.  </w:t>
      </w:r>
    </w:p>
    <w:p w:rsidRPr="004A4CA4" w:rsidR="00016350" w:rsidP="004A4CA4" w:rsidRDefault="00016350" w14:paraId="74E12212" w14:textId="77777777">
      <w:pPr>
        <w:pStyle w:val="ListParagraph"/>
        <w:rPr>
          <w:sz w:val="24"/>
          <w:szCs w:val="24"/>
        </w:rPr>
      </w:pPr>
    </w:p>
    <w:p w:rsidRPr="004A4CA4" w:rsidR="0022346E" w:rsidP="00016350" w:rsidRDefault="00016350" w14:paraId="35C6052B" w14:textId="73B6954D">
      <w:pPr>
        <w:pStyle w:val="ListParagraph"/>
        <w:numPr>
          <w:ilvl w:val="0"/>
          <w:numId w:val="36"/>
        </w:numPr>
        <w:ind w:left="720"/>
        <w:rPr>
          <w:sz w:val="24"/>
          <w:szCs w:val="24"/>
        </w:rPr>
      </w:pPr>
      <w:r w:rsidRPr="00315A0B">
        <w:rPr>
          <w:sz w:val="24"/>
          <w:szCs w:val="24"/>
        </w:rPr>
        <w:lastRenderedPageBreak/>
        <w:t>Option 3:  All contractors would be required to certify every two years.  Contractors who are scheduled for a compliance evaluation will submit their AAPs as they currently do, via email or a delivery service.  The total burden in the first year is 41,914 hours at a monetary cost of $3,011,521.  The annual burden in subsequent years is 7,196 hours at a monetary cost of $517,033.</w:t>
      </w:r>
      <w:r w:rsidRPr="004A4CA4" w:rsidR="00F04255">
        <w:rPr>
          <w:sz w:val="24"/>
          <w:szCs w:val="24"/>
        </w:rPr>
        <w:t xml:space="preserve">  </w:t>
      </w:r>
    </w:p>
    <w:p w:rsidRPr="0022346E" w:rsidR="0022346E" w:rsidP="00BB030E" w:rsidRDefault="0022346E" w14:paraId="78E114F9" w14:textId="77777777"/>
    <w:p w:rsidRPr="00720EE4" w:rsidR="00912523" w:rsidP="00912523" w:rsidRDefault="00912523" w14:paraId="7FBE863E" w14:textId="77777777">
      <w:pPr>
        <w:rPr>
          <w:sz w:val="24"/>
          <w:szCs w:val="24"/>
        </w:rPr>
      </w:pPr>
      <w:r w:rsidRPr="00720EE4">
        <w:rPr>
          <w:b/>
          <w:sz w:val="24"/>
        </w:rPr>
        <w:t xml:space="preserve">9.  </w:t>
      </w:r>
      <w:r w:rsidRPr="00720EE4" w:rsidR="00377386">
        <w:rPr>
          <w:b/>
          <w:sz w:val="24"/>
        </w:rPr>
        <w:t>Gifts or Payments</w:t>
      </w:r>
      <w:r w:rsidRPr="00720EE4">
        <w:rPr>
          <w:sz w:val="24"/>
          <w:szCs w:val="24"/>
        </w:rPr>
        <w:t xml:space="preserve">  </w:t>
      </w:r>
    </w:p>
    <w:p w:rsidRPr="00720EE4" w:rsidR="00912523" w:rsidP="00912523" w:rsidRDefault="00912523" w14:paraId="4B30F62E" w14:textId="77777777">
      <w:pPr>
        <w:rPr>
          <w:sz w:val="24"/>
          <w:szCs w:val="24"/>
        </w:rPr>
      </w:pPr>
    </w:p>
    <w:p w:rsidRPr="00720EE4" w:rsidR="00912523" w:rsidP="00912523" w:rsidRDefault="009334B8" w14:paraId="30610DB7" w14:textId="77777777">
      <w:pPr>
        <w:rPr>
          <w:sz w:val="24"/>
          <w:szCs w:val="24"/>
        </w:rPr>
      </w:pPr>
      <w:r w:rsidRPr="00720EE4">
        <w:rPr>
          <w:sz w:val="24"/>
          <w:szCs w:val="24"/>
        </w:rPr>
        <w:t>No payment or gift will be provided to participants.</w:t>
      </w:r>
    </w:p>
    <w:p w:rsidRPr="00720EE4" w:rsidR="009334B8" w:rsidP="00912523" w:rsidRDefault="009334B8" w14:paraId="1657F881" w14:textId="77777777">
      <w:pPr>
        <w:rPr>
          <w:b/>
          <w:sz w:val="24"/>
          <w:szCs w:val="24"/>
        </w:rPr>
      </w:pPr>
    </w:p>
    <w:p w:rsidRPr="00720EE4" w:rsidR="00912523" w:rsidP="00912523" w:rsidRDefault="00912523" w14:paraId="47E52A3B" w14:textId="77777777">
      <w:pPr>
        <w:tabs>
          <w:tab w:val="left" w:pos="270"/>
        </w:tabs>
        <w:rPr>
          <w:sz w:val="24"/>
          <w:szCs w:val="24"/>
        </w:rPr>
      </w:pPr>
      <w:r w:rsidRPr="00720EE4">
        <w:rPr>
          <w:b/>
          <w:bCs/>
          <w:sz w:val="24"/>
        </w:rPr>
        <w:t>10.</w:t>
      </w:r>
      <w:r w:rsidRPr="00720EE4">
        <w:rPr>
          <w:b/>
          <w:sz w:val="24"/>
        </w:rPr>
        <w:t xml:space="preserve">  </w:t>
      </w:r>
      <w:r w:rsidRPr="00720EE4" w:rsidR="00377386">
        <w:rPr>
          <w:b/>
          <w:sz w:val="24"/>
        </w:rPr>
        <w:t>Confidentiality of Information</w:t>
      </w:r>
    </w:p>
    <w:p w:rsidRPr="00720EE4" w:rsidR="00912523" w:rsidP="00912523" w:rsidRDefault="00912523" w14:paraId="3D91EA35" w14:textId="77777777">
      <w:pPr>
        <w:tabs>
          <w:tab w:val="left" w:pos="270"/>
        </w:tabs>
        <w:rPr>
          <w:sz w:val="24"/>
          <w:szCs w:val="24"/>
        </w:rPr>
      </w:pPr>
    </w:p>
    <w:p w:rsidRPr="00720EE4" w:rsidR="00912523" w:rsidP="00912523" w:rsidRDefault="00304A81" w14:paraId="21D2C5C1" w14:textId="2580808D">
      <w:pPr>
        <w:tabs>
          <w:tab w:val="left" w:pos="270"/>
        </w:tabs>
        <w:rPr>
          <w:sz w:val="24"/>
          <w:szCs w:val="24"/>
        </w:rPr>
      </w:pPr>
      <w:r w:rsidRPr="00720EE4">
        <w:rPr>
          <w:sz w:val="24"/>
          <w:szCs w:val="24"/>
        </w:rPr>
        <w:t>I</w:t>
      </w:r>
      <w:r w:rsidRPr="00720EE4" w:rsidR="00C563E4">
        <w:rPr>
          <w:sz w:val="24"/>
          <w:szCs w:val="24"/>
        </w:rPr>
        <w:t>n the case of a Freedom of Information Act (FOIA) request</w:t>
      </w:r>
      <w:r w:rsidRPr="00720EE4" w:rsidR="00667774">
        <w:rPr>
          <w:sz w:val="24"/>
          <w:szCs w:val="24"/>
        </w:rPr>
        <w:t xml:space="preserve">, </w:t>
      </w:r>
      <w:r w:rsidRPr="00720EE4" w:rsidR="00D93D89">
        <w:rPr>
          <w:sz w:val="24"/>
          <w:szCs w:val="24"/>
        </w:rPr>
        <w:t>OFCCP will evaluate all information pursuant to the public inspection and disclosure provisions</w:t>
      </w:r>
      <w:r w:rsidR="00741E66">
        <w:rPr>
          <w:sz w:val="24"/>
          <w:szCs w:val="24"/>
        </w:rPr>
        <w:t xml:space="preserve"> of</w:t>
      </w:r>
      <w:r w:rsidRPr="00720EE4" w:rsidR="00C563E4">
        <w:rPr>
          <w:sz w:val="24"/>
          <w:szCs w:val="24"/>
        </w:rPr>
        <w:t xml:space="preserve"> </w:t>
      </w:r>
      <w:r w:rsidRPr="00720EE4" w:rsidR="00D93D89">
        <w:rPr>
          <w:sz w:val="24"/>
          <w:szCs w:val="24"/>
        </w:rPr>
        <w:t>FOIA, 5 U.S.C. 552, and DOL’s implementing regulations at 29 CFR Part 70.  OFCCP notifies in writing</w:t>
      </w:r>
      <w:r w:rsidRPr="00720EE4" w:rsidR="00776D51">
        <w:rPr>
          <w:sz w:val="24"/>
          <w:szCs w:val="24"/>
        </w:rPr>
        <w:t xml:space="preserve"> those contractors </w:t>
      </w:r>
      <w:r w:rsidRPr="00720EE4" w:rsidR="00D93D89">
        <w:rPr>
          <w:sz w:val="24"/>
          <w:szCs w:val="24"/>
        </w:rPr>
        <w:t xml:space="preserve">whose records are subject to a FOIA request.  OFCCP makes no decision to disclose the information until contractors have an opportunity to submit objections to its release. </w:t>
      </w:r>
    </w:p>
    <w:p w:rsidRPr="00720EE4" w:rsidR="009D466A" w:rsidP="00912523" w:rsidRDefault="009D466A" w14:paraId="2DF93011" w14:textId="77777777">
      <w:pPr>
        <w:tabs>
          <w:tab w:val="left" w:pos="270"/>
        </w:tabs>
        <w:rPr>
          <w:sz w:val="24"/>
          <w:szCs w:val="24"/>
        </w:rPr>
      </w:pPr>
    </w:p>
    <w:p w:rsidRPr="00720EE4" w:rsidR="009D466A" w:rsidP="009D466A" w:rsidRDefault="009D466A" w14:paraId="4BB5C36F" w14:textId="77777777">
      <w:pPr>
        <w:rPr>
          <w:sz w:val="24"/>
          <w:szCs w:val="24"/>
        </w:rPr>
      </w:pPr>
      <w:r w:rsidRPr="00720EE4">
        <w:rPr>
          <w:sz w:val="24"/>
          <w:szCs w:val="24"/>
        </w:rPr>
        <w:t xml:space="preserve">As described in section 1, the contractor verification steps will protect contractors’ information from fraudulent activity.  Using the unique identifiers described, a third party cannot impersonate the contractor and submit or modify any of the information contained in </w:t>
      </w:r>
      <w:r w:rsidR="00ED2FCC">
        <w:rPr>
          <w:sz w:val="24"/>
          <w:szCs w:val="24"/>
        </w:rPr>
        <w:t>AAP-VI</w:t>
      </w:r>
      <w:r w:rsidRPr="00720EE4" w:rsidR="00667774">
        <w:rPr>
          <w:sz w:val="24"/>
          <w:szCs w:val="24"/>
        </w:rPr>
        <w:t>.</w:t>
      </w:r>
      <w:r w:rsidRPr="00720EE4">
        <w:rPr>
          <w:sz w:val="24"/>
          <w:szCs w:val="24"/>
        </w:rPr>
        <w:t xml:space="preserve"> </w:t>
      </w:r>
    </w:p>
    <w:p w:rsidRPr="00720EE4" w:rsidR="00912523" w:rsidP="00912523" w:rsidRDefault="00912523" w14:paraId="17174933" w14:textId="77777777">
      <w:pPr>
        <w:rPr>
          <w:sz w:val="24"/>
          <w:szCs w:val="24"/>
        </w:rPr>
      </w:pPr>
    </w:p>
    <w:p w:rsidRPr="00720EE4" w:rsidR="00912523" w:rsidP="00912523" w:rsidRDefault="00912523" w14:paraId="735FF521" w14:textId="77777777">
      <w:pPr>
        <w:rPr>
          <w:b/>
          <w:sz w:val="24"/>
          <w:szCs w:val="24"/>
        </w:rPr>
      </w:pPr>
      <w:r w:rsidRPr="00720EE4">
        <w:rPr>
          <w:b/>
          <w:sz w:val="24"/>
          <w:szCs w:val="24"/>
        </w:rPr>
        <w:t xml:space="preserve">11.  </w:t>
      </w:r>
      <w:r w:rsidRPr="00720EE4" w:rsidR="00377386">
        <w:rPr>
          <w:b/>
          <w:sz w:val="24"/>
          <w:szCs w:val="24"/>
        </w:rPr>
        <w:t>Questions of Sensitive Nature</w:t>
      </w:r>
      <w:r w:rsidRPr="00720EE4">
        <w:rPr>
          <w:b/>
          <w:sz w:val="24"/>
          <w:szCs w:val="24"/>
        </w:rPr>
        <w:t xml:space="preserve">  </w:t>
      </w:r>
    </w:p>
    <w:p w:rsidRPr="00720EE4" w:rsidR="00912523" w:rsidP="00912523" w:rsidRDefault="00912523" w14:paraId="434BD764" w14:textId="77777777">
      <w:pPr>
        <w:rPr>
          <w:sz w:val="24"/>
          <w:szCs w:val="24"/>
        </w:rPr>
      </w:pPr>
    </w:p>
    <w:p w:rsidRPr="00720EE4" w:rsidR="00912523" w:rsidP="00912523" w:rsidRDefault="00912523" w14:paraId="4F930074" w14:textId="77777777">
      <w:pPr>
        <w:rPr>
          <w:sz w:val="24"/>
          <w:szCs w:val="24"/>
        </w:rPr>
      </w:pPr>
      <w:r w:rsidRPr="00720EE4">
        <w:rPr>
          <w:sz w:val="24"/>
          <w:szCs w:val="24"/>
        </w:rPr>
        <w:t>No sensitive questions are involved.</w:t>
      </w:r>
    </w:p>
    <w:p w:rsidRPr="00720EE4" w:rsidR="00912523" w:rsidP="00912523" w:rsidRDefault="00912523" w14:paraId="558535E9" w14:textId="77777777">
      <w:pPr>
        <w:ind w:firstLine="720"/>
        <w:rPr>
          <w:sz w:val="24"/>
          <w:szCs w:val="24"/>
        </w:rPr>
      </w:pPr>
    </w:p>
    <w:p w:rsidRPr="00720EE4" w:rsidR="00831ADA" w:rsidP="00DF486B" w:rsidRDefault="00912523" w14:paraId="72720854" w14:textId="77777777">
      <w:pPr>
        <w:rPr>
          <w:b/>
          <w:sz w:val="24"/>
        </w:rPr>
      </w:pPr>
      <w:r w:rsidRPr="00720EE4">
        <w:rPr>
          <w:b/>
          <w:bCs/>
          <w:sz w:val="24"/>
        </w:rPr>
        <w:t>12.</w:t>
      </w:r>
      <w:r w:rsidRPr="00720EE4">
        <w:rPr>
          <w:b/>
          <w:sz w:val="24"/>
        </w:rPr>
        <w:t xml:space="preserve">  </w:t>
      </w:r>
      <w:r w:rsidRPr="00720EE4" w:rsidR="00377386">
        <w:rPr>
          <w:b/>
          <w:sz w:val="24"/>
        </w:rPr>
        <w:t>Information Collection Hour Burden</w:t>
      </w:r>
      <w:r w:rsidRPr="00720EE4">
        <w:rPr>
          <w:b/>
          <w:sz w:val="24"/>
          <w:szCs w:val="24"/>
        </w:rPr>
        <w:t xml:space="preserve"> </w:t>
      </w:r>
    </w:p>
    <w:p w:rsidRPr="00720EE4" w:rsidR="00912523" w:rsidP="00912523" w:rsidRDefault="00912523" w14:paraId="1BB672CF" w14:textId="77777777">
      <w:pPr>
        <w:rPr>
          <w:b/>
          <w:sz w:val="24"/>
          <w:szCs w:val="24"/>
        </w:rPr>
      </w:pPr>
    </w:p>
    <w:p w:rsidRPr="00720EE4" w:rsidR="00912523" w:rsidP="00912523" w:rsidRDefault="007B13E8" w14:paraId="415F1F14" w14:textId="5EAC48F8">
      <w:pPr>
        <w:rPr>
          <w:sz w:val="24"/>
          <w:szCs w:val="24"/>
        </w:rPr>
      </w:pPr>
      <w:r w:rsidRPr="00720EE4">
        <w:rPr>
          <w:sz w:val="24"/>
          <w:szCs w:val="24"/>
        </w:rPr>
        <w:t>This ICR ca</w:t>
      </w:r>
      <w:r w:rsidRPr="00720EE4" w:rsidR="00636ED4">
        <w:rPr>
          <w:sz w:val="24"/>
          <w:szCs w:val="24"/>
        </w:rPr>
        <w:t>r</w:t>
      </w:r>
      <w:r w:rsidRPr="00720EE4">
        <w:rPr>
          <w:sz w:val="24"/>
          <w:szCs w:val="24"/>
        </w:rPr>
        <w:t xml:space="preserve">ries </w:t>
      </w:r>
      <w:r w:rsidRPr="00720EE4" w:rsidR="00357276">
        <w:rPr>
          <w:sz w:val="24"/>
          <w:szCs w:val="24"/>
        </w:rPr>
        <w:t xml:space="preserve">only </w:t>
      </w:r>
      <w:r w:rsidRPr="00720EE4">
        <w:rPr>
          <w:sz w:val="24"/>
          <w:szCs w:val="24"/>
        </w:rPr>
        <w:t>a reporting burden</w:t>
      </w:r>
      <w:r w:rsidR="005174C5">
        <w:rPr>
          <w:sz w:val="24"/>
          <w:szCs w:val="24"/>
        </w:rPr>
        <w:t xml:space="preserve"> that applies to all three laws enforced by OFCCP</w:t>
      </w:r>
      <w:r w:rsidRPr="00720EE4">
        <w:rPr>
          <w:sz w:val="24"/>
          <w:szCs w:val="24"/>
        </w:rPr>
        <w:t>.  The recordkeeping burden for the information collected is covered in th</w:t>
      </w:r>
      <w:r w:rsidR="005174C5">
        <w:rPr>
          <w:sz w:val="24"/>
          <w:szCs w:val="24"/>
        </w:rPr>
        <w:t>ree other ICRs:</w:t>
      </w:r>
      <w:r w:rsidRPr="00720EE4">
        <w:rPr>
          <w:sz w:val="24"/>
          <w:szCs w:val="24"/>
        </w:rPr>
        <w:t xml:space="preserve"> </w:t>
      </w:r>
      <w:r w:rsidR="00B35296">
        <w:rPr>
          <w:sz w:val="24"/>
          <w:szCs w:val="24"/>
        </w:rPr>
        <w:t xml:space="preserve">Supply and Service Scheduling Letter (OMB Control No. </w:t>
      </w:r>
      <w:r w:rsidRPr="00720EE4">
        <w:rPr>
          <w:sz w:val="24"/>
          <w:szCs w:val="24"/>
        </w:rPr>
        <w:t>1250-000</w:t>
      </w:r>
      <w:r w:rsidRPr="00720EE4" w:rsidR="00667774">
        <w:rPr>
          <w:sz w:val="24"/>
          <w:szCs w:val="24"/>
        </w:rPr>
        <w:t>3</w:t>
      </w:r>
      <w:r w:rsidR="00B35296">
        <w:rPr>
          <w:sz w:val="24"/>
          <w:szCs w:val="24"/>
        </w:rPr>
        <w:t>)</w:t>
      </w:r>
      <w:r w:rsidR="005174C5">
        <w:rPr>
          <w:sz w:val="24"/>
          <w:szCs w:val="24"/>
        </w:rPr>
        <w:t>, Section 503 Recordkeeping (OMB Control No. 1250-0005), and VEVRAA Recordkeeping (OMB Control No. 1250-0004)</w:t>
      </w:r>
      <w:r w:rsidR="00B35296">
        <w:rPr>
          <w:sz w:val="24"/>
          <w:szCs w:val="24"/>
        </w:rPr>
        <w:t>.</w:t>
      </w:r>
      <w:r w:rsidRPr="00720EE4" w:rsidR="001F64A5">
        <w:rPr>
          <w:sz w:val="24"/>
          <w:szCs w:val="24"/>
        </w:rPr>
        <w:t xml:space="preserve"> </w:t>
      </w:r>
      <w:r w:rsidR="00A318BC">
        <w:rPr>
          <w:sz w:val="24"/>
          <w:szCs w:val="24"/>
        </w:rPr>
        <w:t xml:space="preserve"> </w:t>
      </w:r>
      <w:r w:rsidRPr="00720EE4" w:rsidR="008F6A4B">
        <w:rPr>
          <w:sz w:val="24"/>
          <w:szCs w:val="24"/>
        </w:rPr>
        <w:t xml:space="preserve">The </w:t>
      </w:r>
      <w:r w:rsidR="00B919FF">
        <w:rPr>
          <w:sz w:val="24"/>
          <w:szCs w:val="24"/>
        </w:rPr>
        <w:t>burden</w:t>
      </w:r>
      <w:r w:rsidRPr="00720EE4">
        <w:rPr>
          <w:sz w:val="24"/>
          <w:szCs w:val="24"/>
        </w:rPr>
        <w:t xml:space="preserve"> for this ICR</w:t>
      </w:r>
      <w:r w:rsidRPr="00720EE4" w:rsidR="008F6A4B">
        <w:rPr>
          <w:sz w:val="24"/>
          <w:szCs w:val="24"/>
        </w:rPr>
        <w:t xml:space="preserve"> </w:t>
      </w:r>
      <w:r w:rsidR="00B919FF">
        <w:rPr>
          <w:sz w:val="24"/>
          <w:szCs w:val="24"/>
        </w:rPr>
        <w:t>is</w:t>
      </w:r>
      <w:r w:rsidRPr="00720EE4" w:rsidR="008F6A4B">
        <w:rPr>
          <w:sz w:val="24"/>
          <w:szCs w:val="24"/>
        </w:rPr>
        <w:t xml:space="preserve"> broken down</w:t>
      </w:r>
      <w:r w:rsidR="00B919FF">
        <w:rPr>
          <w:sz w:val="24"/>
          <w:szCs w:val="24"/>
        </w:rPr>
        <w:t xml:space="preserve"> below</w:t>
      </w:r>
      <w:r w:rsidRPr="00720EE4" w:rsidR="008F6A4B">
        <w:rPr>
          <w:sz w:val="24"/>
          <w:szCs w:val="24"/>
        </w:rPr>
        <w:t>:</w:t>
      </w:r>
    </w:p>
    <w:p w:rsidRPr="00720EE4" w:rsidR="00387390" w:rsidP="00912523" w:rsidRDefault="00387390" w14:paraId="79381EB9" w14:textId="77777777">
      <w:pPr>
        <w:rPr>
          <w:sz w:val="24"/>
          <w:szCs w:val="24"/>
        </w:rPr>
      </w:pPr>
    </w:p>
    <w:p w:rsidRPr="00720EE4" w:rsidR="009C66B3" w:rsidP="00BC7C21" w:rsidRDefault="00B919FF" w14:paraId="78FFA4F3" w14:textId="2AC698A1">
      <w:pPr>
        <w:pStyle w:val="BodyText"/>
        <w:numPr>
          <w:ilvl w:val="0"/>
          <w:numId w:val="27"/>
        </w:numPr>
        <w:tabs>
          <w:tab w:val="left" w:pos="-720"/>
        </w:tabs>
        <w:rPr>
          <w:rFonts w:ascii="Times New Roman" w:hAnsi="Times New Roman"/>
          <w:color w:val="000000"/>
          <w:szCs w:val="24"/>
        </w:rPr>
      </w:pPr>
      <w:r>
        <w:rPr>
          <w:rFonts w:ascii="Times New Roman" w:hAnsi="Times New Roman"/>
          <w:color w:val="000000"/>
          <w:szCs w:val="24"/>
        </w:rPr>
        <w:t>One</w:t>
      </w:r>
      <w:r w:rsidR="00357276">
        <w:rPr>
          <w:rFonts w:ascii="Times New Roman" w:hAnsi="Times New Roman"/>
          <w:color w:val="000000"/>
          <w:szCs w:val="24"/>
        </w:rPr>
        <w:t>-</w:t>
      </w:r>
      <w:r>
        <w:rPr>
          <w:rFonts w:ascii="Times New Roman" w:hAnsi="Times New Roman"/>
          <w:color w:val="000000"/>
          <w:szCs w:val="24"/>
        </w:rPr>
        <w:t xml:space="preserve">time burden for all users </w:t>
      </w:r>
      <w:r w:rsidR="00A554F7">
        <w:rPr>
          <w:rFonts w:ascii="Times New Roman" w:hAnsi="Times New Roman"/>
          <w:color w:val="000000"/>
          <w:szCs w:val="24"/>
        </w:rPr>
        <w:t>who are existing federal</w:t>
      </w:r>
      <w:r>
        <w:rPr>
          <w:rFonts w:ascii="Times New Roman" w:hAnsi="Times New Roman"/>
          <w:color w:val="000000"/>
          <w:szCs w:val="24"/>
        </w:rPr>
        <w:t xml:space="preserve"> contractor</w:t>
      </w:r>
      <w:r w:rsidR="00A554F7">
        <w:rPr>
          <w:rFonts w:ascii="Times New Roman" w:hAnsi="Times New Roman"/>
          <w:color w:val="000000"/>
          <w:szCs w:val="24"/>
        </w:rPr>
        <w:t>s</w:t>
      </w:r>
      <w:r w:rsidR="000762A8">
        <w:rPr>
          <w:rFonts w:ascii="Times New Roman" w:hAnsi="Times New Roman"/>
          <w:color w:val="000000"/>
          <w:szCs w:val="24"/>
        </w:rPr>
        <w:t>:</w:t>
      </w:r>
      <w:r>
        <w:rPr>
          <w:rFonts w:ascii="Times New Roman" w:hAnsi="Times New Roman"/>
          <w:color w:val="000000"/>
          <w:szCs w:val="24"/>
        </w:rPr>
        <w:t xml:space="preserve"> </w:t>
      </w:r>
      <w:r w:rsidR="000762A8">
        <w:rPr>
          <w:rFonts w:ascii="Times New Roman" w:hAnsi="Times New Roman"/>
          <w:color w:val="000000"/>
          <w:szCs w:val="24"/>
        </w:rPr>
        <w:t xml:space="preserve"> </w:t>
      </w:r>
      <w:r>
        <w:rPr>
          <w:rFonts w:ascii="Times New Roman" w:hAnsi="Times New Roman"/>
          <w:color w:val="000000"/>
          <w:szCs w:val="24"/>
        </w:rPr>
        <w:t xml:space="preserve">Users will go to </w:t>
      </w:r>
      <w:r w:rsidR="005174C5">
        <w:rPr>
          <w:rFonts w:ascii="Times New Roman" w:hAnsi="Times New Roman"/>
          <w:color w:val="000000"/>
          <w:szCs w:val="24"/>
        </w:rPr>
        <w:t>L</w:t>
      </w:r>
      <w:r w:rsidRPr="00720EE4" w:rsidR="009C66B3">
        <w:rPr>
          <w:rFonts w:ascii="Times New Roman" w:hAnsi="Times New Roman"/>
          <w:color w:val="000000"/>
          <w:szCs w:val="24"/>
        </w:rPr>
        <w:t xml:space="preserve">ogin.gov </w:t>
      </w:r>
      <w:r>
        <w:rPr>
          <w:rFonts w:ascii="Times New Roman" w:hAnsi="Times New Roman"/>
          <w:color w:val="000000"/>
          <w:szCs w:val="24"/>
        </w:rPr>
        <w:t xml:space="preserve">to </w:t>
      </w:r>
      <w:r w:rsidRPr="00720EE4" w:rsidR="009C66B3">
        <w:rPr>
          <w:rFonts w:ascii="Times New Roman" w:hAnsi="Times New Roman"/>
          <w:color w:val="000000"/>
          <w:szCs w:val="24"/>
        </w:rPr>
        <w:t>certify their status using a two-factor authentication</w:t>
      </w:r>
      <w:r>
        <w:rPr>
          <w:rFonts w:ascii="Times New Roman" w:hAnsi="Times New Roman"/>
          <w:color w:val="000000"/>
          <w:szCs w:val="24"/>
        </w:rPr>
        <w:t xml:space="preserve"> and verify their account profile. </w:t>
      </w:r>
      <w:r w:rsidR="00A318BC">
        <w:rPr>
          <w:rFonts w:ascii="Times New Roman" w:hAnsi="Times New Roman"/>
          <w:color w:val="000000"/>
          <w:szCs w:val="24"/>
        </w:rPr>
        <w:t xml:space="preserve"> </w:t>
      </w:r>
      <w:r>
        <w:rPr>
          <w:rFonts w:ascii="Times New Roman" w:hAnsi="Times New Roman"/>
          <w:color w:val="000000"/>
          <w:szCs w:val="24"/>
        </w:rPr>
        <w:t xml:space="preserve">It will take the user .3 hours to complete these tasks. </w:t>
      </w:r>
      <w:r w:rsidR="00A318BC">
        <w:rPr>
          <w:rFonts w:ascii="Times New Roman" w:hAnsi="Times New Roman"/>
          <w:color w:val="000000"/>
          <w:szCs w:val="24"/>
        </w:rPr>
        <w:t xml:space="preserve"> </w:t>
      </w:r>
      <w:r>
        <w:rPr>
          <w:rFonts w:ascii="Times New Roman" w:hAnsi="Times New Roman"/>
          <w:color w:val="000000"/>
          <w:szCs w:val="24"/>
        </w:rPr>
        <w:t xml:space="preserve">The total burden for </w:t>
      </w:r>
      <w:r w:rsidR="00A554F7">
        <w:rPr>
          <w:rFonts w:ascii="Times New Roman" w:hAnsi="Times New Roman"/>
          <w:color w:val="000000"/>
          <w:szCs w:val="24"/>
        </w:rPr>
        <w:t>existing contractors</w:t>
      </w:r>
      <w:r>
        <w:rPr>
          <w:rFonts w:ascii="Times New Roman" w:hAnsi="Times New Roman"/>
          <w:color w:val="000000"/>
          <w:szCs w:val="24"/>
        </w:rPr>
        <w:t xml:space="preserve"> is 3</w:t>
      </w:r>
      <w:r w:rsidR="00CC01C6">
        <w:rPr>
          <w:rFonts w:ascii="Times New Roman" w:hAnsi="Times New Roman"/>
          <w:color w:val="000000"/>
          <w:szCs w:val="24"/>
        </w:rPr>
        <w:t>5,069</w:t>
      </w:r>
      <w:r>
        <w:rPr>
          <w:rFonts w:ascii="Times New Roman" w:hAnsi="Times New Roman"/>
          <w:color w:val="000000"/>
          <w:szCs w:val="24"/>
        </w:rPr>
        <w:t xml:space="preserve"> hours (.3 hours x 1</w:t>
      </w:r>
      <w:r w:rsidR="00CC01C6">
        <w:rPr>
          <w:rFonts w:ascii="Times New Roman" w:hAnsi="Times New Roman"/>
          <w:color w:val="000000"/>
          <w:szCs w:val="24"/>
        </w:rPr>
        <w:t>16,898</w:t>
      </w:r>
      <w:r>
        <w:rPr>
          <w:rFonts w:ascii="Times New Roman" w:hAnsi="Times New Roman"/>
          <w:color w:val="000000"/>
          <w:szCs w:val="24"/>
        </w:rPr>
        <w:t xml:space="preserve"> contractor establishments</w:t>
      </w:r>
      <w:r w:rsidR="00357276">
        <w:rPr>
          <w:rFonts w:ascii="Times New Roman" w:hAnsi="Times New Roman"/>
          <w:color w:val="000000"/>
          <w:szCs w:val="24"/>
        </w:rPr>
        <w:t>).</w:t>
      </w:r>
      <w:r>
        <w:rPr>
          <w:rStyle w:val="FootnoteReference"/>
          <w:rFonts w:ascii="Times New Roman" w:hAnsi="Times New Roman"/>
          <w:color w:val="000000"/>
          <w:szCs w:val="24"/>
        </w:rPr>
        <w:footnoteReference w:id="18"/>
      </w:r>
      <w:r>
        <w:rPr>
          <w:rFonts w:ascii="Times New Roman" w:hAnsi="Times New Roman"/>
          <w:color w:val="000000"/>
          <w:szCs w:val="24"/>
        </w:rPr>
        <w:t xml:space="preserve">   </w:t>
      </w:r>
    </w:p>
    <w:p w:rsidR="00B919FF" w:rsidP="00BC7C21" w:rsidRDefault="00B919FF" w14:paraId="720F4CA7" w14:textId="1108CF58">
      <w:pPr>
        <w:pStyle w:val="ListParagraph"/>
        <w:numPr>
          <w:ilvl w:val="0"/>
          <w:numId w:val="27"/>
        </w:numPr>
        <w:rPr>
          <w:sz w:val="24"/>
          <w:szCs w:val="24"/>
        </w:rPr>
      </w:pPr>
      <w:r>
        <w:rPr>
          <w:sz w:val="24"/>
          <w:szCs w:val="24"/>
        </w:rPr>
        <w:lastRenderedPageBreak/>
        <w:t xml:space="preserve">Annual burden for users </w:t>
      </w:r>
      <w:r w:rsidR="000762A8">
        <w:rPr>
          <w:sz w:val="24"/>
          <w:szCs w:val="24"/>
        </w:rPr>
        <w:t xml:space="preserve">who are new federal contractors: </w:t>
      </w:r>
      <w:r>
        <w:rPr>
          <w:sz w:val="24"/>
          <w:szCs w:val="24"/>
        </w:rPr>
        <w:t xml:space="preserve"> </w:t>
      </w:r>
      <w:r w:rsidR="00A554F7">
        <w:rPr>
          <w:sz w:val="24"/>
          <w:szCs w:val="24"/>
        </w:rPr>
        <w:t>New contractors</w:t>
      </w:r>
      <w:r>
        <w:rPr>
          <w:sz w:val="24"/>
          <w:szCs w:val="24"/>
        </w:rPr>
        <w:t xml:space="preserve"> will go to </w:t>
      </w:r>
      <w:r w:rsidR="006D24AC">
        <w:rPr>
          <w:sz w:val="24"/>
          <w:szCs w:val="24"/>
        </w:rPr>
        <w:t>L</w:t>
      </w:r>
      <w:r>
        <w:rPr>
          <w:sz w:val="24"/>
          <w:szCs w:val="24"/>
        </w:rPr>
        <w:t xml:space="preserve">ogin.gov to certify their status using a two-factor authentication and verify their account profile. </w:t>
      </w:r>
      <w:r w:rsidR="00A318BC">
        <w:rPr>
          <w:sz w:val="24"/>
          <w:szCs w:val="24"/>
        </w:rPr>
        <w:t xml:space="preserve"> </w:t>
      </w:r>
      <w:r w:rsidR="000762A8">
        <w:rPr>
          <w:sz w:val="24"/>
          <w:szCs w:val="24"/>
        </w:rPr>
        <w:t xml:space="preserve">OFCCP estimates that </w:t>
      </w:r>
      <w:r w:rsidR="00357276">
        <w:rPr>
          <w:sz w:val="24"/>
          <w:szCs w:val="24"/>
        </w:rPr>
        <w:t xml:space="preserve">one </w:t>
      </w:r>
      <w:r w:rsidR="000762A8">
        <w:rPr>
          <w:sz w:val="24"/>
          <w:szCs w:val="24"/>
        </w:rPr>
        <w:t>percent</w:t>
      </w:r>
      <w:r>
        <w:rPr>
          <w:sz w:val="24"/>
          <w:szCs w:val="24"/>
        </w:rPr>
        <w:t xml:space="preserve"> of </w:t>
      </w:r>
      <w:r w:rsidR="005D682B">
        <w:rPr>
          <w:sz w:val="24"/>
          <w:szCs w:val="24"/>
        </w:rPr>
        <w:t xml:space="preserve">its </w:t>
      </w:r>
      <w:r w:rsidR="002036A5">
        <w:rPr>
          <w:sz w:val="24"/>
          <w:szCs w:val="24"/>
        </w:rPr>
        <w:t>contractor universe</w:t>
      </w:r>
      <w:r w:rsidR="005D682B">
        <w:rPr>
          <w:sz w:val="24"/>
          <w:szCs w:val="24"/>
        </w:rPr>
        <w:t xml:space="preserve"> </w:t>
      </w:r>
      <w:r w:rsidR="00DD66EA">
        <w:rPr>
          <w:sz w:val="24"/>
          <w:szCs w:val="24"/>
        </w:rPr>
        <w:t xml:space="preserve">will be new to federal contracting each year. </w:t>
      </w:r>
      <w:r w:rsidR="00A318BC">
        <w:rPr>
          <w:sz w:val="24"/>
          <w:szCs w:val="24"/>
        </w:rPr>
        <w:t xml:space="preserve"> </w:t>
      </w:r>
      <w:r w:rsidR="00DD66EA">
        <w:rPr>
          <w:sz w:val="24"/>
          <w:szCs w:val="24"/>
        </w:rPr>
        <w:t>The total annual burden for users at new contractor</w:t>
      </w:r>
      <w:r w:rsidR="00A554F7">
        <w:rPr>
          <w:sz w:val="24"/>
          <w:szCs w:val="24"/>
        </w:rPr>
        <w:t>s</w:t>
      </w:r>
      <w:r w:rsidR="00DD66EA">
        <w:rPr>
          <w:sz w:val="24"/>
          <w:szCs w:val="24"/>
        </w:rPr>
        <w:t xml:space="preserve"> is 3</w:t>
      </w:r>
      <w:r w:rsidR="00CC01C6">
        <w:rPr>
          <w:sz w:val="24"/>
          <w:szCs w:val="24"/>
        </w:rPr>
        <w:t>51</w:t>
      </w:r>
      <w:r w:rsidR="00DD66EA">
        <w:rPr>
          <w:sz w:val="24"/>
          <w:szCs w:val="24"/>
        </w:rPr>
        <w:t xml:space="preserve"> hours (.3 hours x 1,</w:t>
      </w:r>
      <w:r w:rsidR="00CC01C6">
        <w:rPr>
          <w:sz w:val="24"/>
          <w:szCs w:val="24"/>
        </w:rPr>
        <w:t>169</w:t>
      </w:r>
      <w:r w:rsidR="00DD66EA">
        <w:rPr>
          <w:sz w:val="24"/>
          <w:szCs w:val="24"/>
        </w:rPr>
        <w:t xml:space="preserve"> </w:t>
      </w:r>
      <w:r w:rsidR="00A554F7">
        <w:rPr>
          <w:sz w:val="24"/>
          <w:szCs w:val="24"/>
        </w:rPr>
        <w:t xml:space="preserve">new </w:t>
      </w:r>
      <w:r w:rsidR="00DD66EA">
        <w:rPr>
          <w:sz w:val="24"/>
          <w:szCs w:val="24"/>
        </w:rPr>
        <w:t>contractor establishments</w:t>
      </w:r>
      <w:r w:rsidR="00357276">
        <w:rPr>
          <w:sz w:val="24"/>
          <w:szCs w:val="24"/>
        </w:rPr>
        <w:t>).</w:t>
      </w:r>
      <w:r w:rsidR="00DD66EA">
        <w:rPr>
          <w:rStyle w:val="FootnoteReference"/>
          <w:sz w:val="24"/>
          <w:szCs w:val="24"/>
        </w:rPr>
        <w:footnoteReference w:id="19"/>
      </w:r>
    </w:p>
    <w:p w:rsidRPr="00720EE4" w:rsidR="000E2A13" w:rsidP="00BC7C21" w:rsidRDefault="00DD66EA" w14:paraId="1998D96C" w14:textId="1A072E6D">
      <w:pPr>
        <w:pStyle w:val="ListParagraph"/>
        <w:numPr>
          <w:ilvl w:val="0"/>
          <w:numId w:val="27"/>
        </w:numPr>
        <w:rPr>
          <w:sz w:val="24"/>
          <w:szCs w:val="24"/>
        </w:rPr>
      </w:pPr>
      <w:r>
        <w:rPr>
          <w:sz w:val="24"/>
          <w:szCs w:val="24"/>
        </w:rPr>
        <w:t xml:space="preserve">Annual burden for </w:t>
      </w:r>
      <w:r w:rsidRPr="00720EE4" w:rsidR="000E2A13">
        <w:rPr>
          <w:sz w:val="24"/>
          <w:szCs w:val="24"/>
        </w:rPr>
        <w:t>AAP Submission</w:t>
      </w:r>
      <w:r>
        <w:rPr>
          <w:sz w:val="24"/>
          <w:szCs w:val="24"/>
        </w:rPr>
        <w:t xml:space="preserve"> of scheduled </w:t>
      </w:r>
      <w:r w:rsidR="000762A8">
        <w:rPr>
          <w:sz w:val="24"/>
          <w:szCs w:val="24"/>
        </w:rPr>
        <w:t xml:space="preserve">contractors: </w:t>
      </w:r>
      <w:r w:rsidR="00EB5AC5">
        <w:rPr>
          <w:sz w:val="24"/>
          <w:szCs w:val="24"/>
        </w:rPr>
        <w:t xml:space="preserve"> </w:t>
      </w:r>
      <w:r w:rsidR="00A554F7">
        <w:rPr>
          <w:sz w:val="24"/>
          <w:szCs w:val="24"/>
        </w:rPr>
        <w:t xml:space="preserve">Contractors </w:t>
      </w:r>
      <w:r>
        <w:rPr>
          <w:sz w:val="24"/>
          <w:szCs w:val="24"/>
        </w:rPr>
        <w:t>scheduled for a compliance review, compliance check, or focused review will be required to u</w:t>
      </w:r>
      <w:r w:rsidRPr="00720EE4" w:rsidR="000E2A13">
        <w:rPr>
          <w:sz w:val="24"/>
          <w:szCs w:val="24"/>
        </w:rPr>
        <w:t>pload the</w:t>
      </w:r>
      <w:r>
        <w:rPr>
          <w:sz w:val="24"/>
          <w:szCs w:val="24"/>
        </w:rPr>
        <w:t>ir AAPs</w:t>
      </w:r>
      <w:r w:rsidRPr="00720EE4" w:rsidR="000E2A13">
        <w:rPr>
          <w:sz w:val="24"/>
          <w:szCs w:val="24"/>
        </w:rPr>
        <w:t xml:space="preserve"> to the </w:t>
      </w:r>
      <w:r w:rsidRPr="00720EE4" w:rsidR="00CD4774">
        <w:rPr>
          <w:sz w:val="24"/>
          <w:szCs w:val="24"/>
        </w:rPr>
        <w:t>portal</w:t>
      </w:r>
      <w:r w:rsidRPr="00720EE4" w:rsidR="00F84ADA">
        <w:rPr>
          <w:sz w:val="24"/>
          <w:szCs w:val="24"/>
        </w:rPr>
        <w:t xml:space="preserve">. </w:t>
      </w:r>
      <w:r w:rsidR="00A318BC">
        <w:rPr>
          <w:sz w:val="24"/>
          <w:szCs w:val="24"/>
        </w:rPr>
        <w:t xml:space="preserve"> </w:t>
      </w:r>
      <w:r>
        <w:rPr>
          <w:sz w:val="24"/>
          <w:szCs w:val="24"/>
        </w:rPr>
        <w:t>The total annual burden for scheduled establishments is 1,000 hours (.2 hours x 5,000 contractor establishments</w:t>
      </w:r>
      <w:r w:rsidR="00357276">
        <w:rPr>
          <w:sz w:val="24"/>
          <w:szCs w:val="24"/>
        </w:rPr>
        <w:t>).</w:t>
      </w:r>
      <w:r>
        <w:rPr>
          <w:rStyle w:val="FootnoteReference"/>
          <w:sz w:val="24"/>
          <w:szCs w:val="24"/>
        </w:rPr>
        <w:footnoteReference w:id="20"/>
      </w:r>
    </w:p>
    <w:p w:rsidRPr="00720EE4" w:rsidR="00912523" w:rsidP="00BC7C21" w:rsidRDefault="00B138A5" w14:paraId="17D9C4E6" w14:textId="64226510">
      <w:pPr>
        <w:pStyle w:val="ListParagraph"/>
        <w:numPr>
          <w:ilvl w:val="0"/>
          <w:numId w:val="27"/>
        </w:numPr>
        <w:rPr>
          <w:sz w:val="24"/>
        </w:rPr>
      </w:pPr>
      <w:r>
        <w:rPr>
          <w:sz w:val="24"/>
          <w:szCs w:val="24"/>
        </w:rPr>
        <w:t xml:space="preserve">Annual burden for </w:t>
      </w:r>
      <w:r w:rsidR="006D24AC">
        <w:rPr>
          <w:sz w:val="24"/>
          <w:szCs w:val="24"/>
        </w:rPr>
        <w:t xml:space="preserve">annual certification </w:t>
      </w:r>
      <w:r>
        <w:rPr>
          <w:sz w:val="24"/>
          <w:szCs w:val="24"/>
        </w:rPr>
        <w:t>fo</w:t>
      </w:r>
      <w:r w:rsidR="000762A8">
        <w:rPr>
          <w:sz w:val="24"/>
          <w:szCs w:val="24"/>
        </w:rPr>
        <w:t xml:space="preserve">r all contractor establishments: </w:t>
      </w:r>
      <w:r>
        <w:rPr>
          <w:sz w:val="24"/>
          <w:szCs w:val="24"/>
        </w:rPr>
        <w:t xml:space="preserve"> Every contractor will be required to access the portal annually to answer a certification q</w:t>
      </w:r>
      <w:r w:rsidRPr="00720EE4" w:rsidR="00F84ADA">
        <w:rPr>
          <w:sz w:val="24"/>
          <w:szCs w:val="24"/>
        </w:rPr>
        <w:t>uestion</w:t>
      </w:r>
      <w:r>
        <w:rPr>
          <w:sz w:val="24"/>
          <w:szCs w:val="24"/>
        </w:rPr>
        <w:t>.</w:t>
      </w:r>
      <w:r w:rsidRPr="00720EE4" w:rsidR="00F84ADA">
        <w:rPr>
          <w:sz w:val="24"/>
          <w:szCs w:val="24"/>
        </w:rPr>
        <w:t xml:space="preserve"> </w:t>
      </w:r>
      <w:r w:rsidR="00A318BC">
        <w:rPr>
          <w:sz w:val="24"/>
          <w:szCs w:val="24"/>
        </w:rPr>
        <w:t xml:space="preserve"> </w:t>
      </w:r>
      <w:r>
        <w:rPr>
          <w:sz w:val="24"/>
          <w:szCs w:val="24"/>
        </w:rPr>
        <w:t>The total annual burden is 1</w:t>
      </w:r>
      <w:r w:rsidR="00CC01C6">
        <w:rPr>
          <w:sz w:val="24"/>
          <w:szCs w:val="24"/>
        </w:rPr>
        <w:t>1,690</w:t>
      </w:r>
      <w:r>
        <w:rPr>
          <w:sz w:val="24"/>
          <w:szCs w:val="24"/>
        </w:rPr>
        <w:t xml:space="preserve"> hours (.1 hours x 1</w:t>
      </w:r>
      <w:r w:rsidR="00CC01C6">
        <w:rPr>
          <w:sz w:val="24"/>
          <w:szCs w:val="24"/>
        </w:rPr>
        <w:t>16,898</w:t>
      </w:r>
      <w:r>
        <w:rPr>
          <w:sz w:val="24"/>
          <w:szCs w:val="24"/>
        </w:rPr>
        <w:t xml:space="preserve"> contractor establishments).</w:t>
      </w:r>
    </w:p>
    <w:p w:rsidR="00C147EB" w:rsidP="00C0720D" w:rsidRDefault="00C147EB" w14:paraId="18637C08" w14:textId="258184A8">
      <w:pPr>
        <w:rPr>
          <w:b/>
          <w:sz w:val="24"/>
        </w:rPr>
      </w:pPr>
    </w:p>
    <w:p w:rsidRPr="00880CDA" w:rsidR="00B35296" w:rsidP="00C0720D" w:rsidRDefault="00B35296" w14:paraId="74CAF865" w14:textId="5209B365">
      <w:pPr>
        <w:rPr>
          <w:sz w:val="24"/>
        </w:rPr>
      </w:pPr>
      <w:r>
        <w:rPr>
          <w:sz w:val="24"/>
        </w:rPr>
        <w:t>The total burden for the first year is 4</w:t>
      </w:r>
      <w:r w:rsidR="00934E84">
        <w:rPr>
          <w:sz w:val="24"/>
        </w:rPr>
        <w:t>7,759</w:t>
      </w:r>
      <w:r>
        <w:rPr>
          <w:sz w:val="24"/>
        </w:rPr>
        <w:t xml:space="preserve"> hours (3</w:t>
      </w:r>
      <w:r w:rsidR="00934E84">
        <w:rPr>
          <w:sz w:val="24"/>
        </w:rPr>
        <w:t>5,069</w:t>
      </w:r>
      <w:r>
        <w:rPr>
          <w:sz w:val="24"/>
        </w:rPr>
        <w:t xml:space="preserve"> hours + 1,000 hours + 1</w:t>
      </w:r>
      <w:r w:rsidR="00934E84">
        <w:rPr>
          <w:sz w:val="24"/>
        </w:rPr>
        <w:t>1,690</w:t>
      </w:r>
      <w:r>
        <w:rPr>
          <w:sz w:val="24"/>
        </w:rPr>
        <w:t xml:space="preserve"> hours) at a monetary cost of $3,</w:t>
      </w:r>
      <w:r w:rsidR="00934E84">
        <w:rPr>
          <w:sz w:val="24"/>
        </w:rPr>
        <w:t>431,484</w:t>
      </w:r>
      <w:r>
        <w:rPr>
          <w:sz w:val="24"/>
        </w:rPr>
        <w:t xml:space="preserve"> (4</w:t>
      </w:r>
      <w:r w:rsidR="00934E84">
        <w:rPr>
          <w:sz w:val="24"/>
        </w:rPr>
        <w:t>7,759</w:t>
      </w:r>
      <w:r>
        <w:rPr>
          <w:sz w:val="24"/>
        </w:rPr>
        <w:t xml:space="preserve"> hours x $7</w:t>
      </w:r>
      <w:r w:rsidR="00934E84">
        <w:rPr>
          <w:sz w:val="24"/>
        </w:rPr>
        <w:t>1.85</w:t>
      </w:r>
      <w:r w:rsidR="00357276">
        <w:rPr>
          <w:sz w:val="24"/>
        </w:rPr>
        <w:t>).</w:t>
      </w:r>
      <w:r>
        <w:rPr>
          <w:rStyle w:val="FootnoteReference"/>
          <w:sz w:val="24"/>
        </w:rPr>
        <w:footnoteReference w:id="21"/>
      </w:r>
      <w:r>
        <w:rPr>
          <w:sz w:val="24"/>
        </w:rPr>
        <w:t xml:space="preserve"> </w:t>
      </w:r>
      <w:r w:rsidR="00A318BC">
        <w:rPr>
          <w:sz w:val="24"/>
        </w:rPr>
        <w:t xml:space="preserve"> </w:t>
      </w:r>
      <w:r>
        <w:rPr>
          <w:sz w:val="24"/>
        </w:rPr>
        <w:t>The annual burden for subsequent years is 1</w:t>
      </w:r>
      <w:r w:rsidR="00934E84">
        <w:rPr>
          <w:sz w:val="24"/>
        </w:rPr>
        <w:t>3,041</w:t>
      </w:r>
      <w:r>
        <w:rPr>
          <w:sz w:val="24"/>
        </w:rPr>
        <w:t xml:space="preserve"> hours (3</w:t>
      </w:r>
      <w:r w:rsidR="00934E84">
        <w:rPr>
          <w:sz w:val="24"/>
        </w:rPr>
        <w:t>51</w:t>
      </w:r>
      <w:r>
        <w:rPr>
          <w:sz w:val="24"/>
        </w:rPr>
        <w:t xml:space="preserve"> hours + 1,000 hours + 1</w:t>
      </w:r>
      <w:r w:rsidR="00934E84">
        <w:rPr>
          <w:sz w:val="24"/>
        </w:rPr>
        <w:t>1,690</w:t>
      </w:r>
      <w:r>
        <w:rPr>
          <w:sz w:val="24"/>
        </w:rPr>
        <w:t xml:space="preserve"> hours) at a monetary cost of $</w:t>
      </w:r>
      <w:r w:rsidR="00934E84">
        <w:rPr>
          <w:sz w:val="24"/>
        </w:rPr>
        <w:t>936,996</w:t>
      </w:r>
      <w:r>
        <w:rPr>
          <w:sz w:val="24"/>
        </w:rPr>
        <w:t xml:space="preserve"> (1</w:t>
      </w:r>
      <w:r w:rsidR="00934E84">
        <w:rPr>
          <w:sz w:val="24"/>
        </w:rPr>
        <w:t>3,041</w:t>
      </w:r>
      <w:r>
        <w:rPr>
          <w:sz w:val="24"/>
        </w:rPr>
        <w:t xml:space="preserve"> x $7</w:t>
      </w:r>
      <w:r w:rsidR="00934E84">
        <w:rPr>
          <w:sz w:val="24"/>
        </w:rPr>
        <w:t>1.85</w:t>
      </w:r>
      <w:r w:rsidR="00357276">
        <w:rPr>
          <w:sz w:val="24"/>
        </w:rPr>
        <w:t>).</w:t>
      </w:r>
      <w:r w:rsidR="003C645E">
        <w:rPr>
          <w:rStyle w:val="FootnoteReference"/>
          <w:sz w:val="24"/>
        </w:rPr>
        <w:footnoteReference w:id="22"/>
      </w:r>
      <w:r>
        <w:rPr>
          <w:sz w:val="24"/>
        </w:rPr>
        <w:t xml:space="preserve"> </w:t>
      </w:r>
    </w:p>
    <w:p w:rsidRPr="00720EE4" w:rsidR="00912523" w:rsidP="00912523" w:rsidRDefault="00912523" w14:paraId="096F648D" w14:textId="77777777">
      <w:pPr>
        <w:tabs>
          <w:tab w:val="left" w:pos="720"/>
          <w:tab w:val="left" w:pos="6300"/>
          <w:tab w:val="left" w:pos="6390"/>
        </w:tabs>
        <w:rPr>
          <w:sz w:val="24"/>
          <w:szCs w:val="24"/>
        </w:rPr>
      </w:pPr>
    </w:p>
    <w:p w:rsidRPr="00720EE4" w:rsidR="00912523" w:rsidP="00912523" w:rsidRDefault="00912523" w14:paraId="1171196B" w14:textId="77777777">
      <w:pPr>
        <w:rPr>
          <w:b/>
          <w:sz w:val="24"/>
        </w:rPr>
      </w:pPr>
      <w:r w:rsidRPr="00720EE4">
        <w:rPr>
          <w:b/>
          <w:bCs/>
          <w:sz w:val="24"/>
        </w:rPr>
        <w:t>13.</w:t>
      </w:r>
      <w:r w:rsidRPr="00720EE4">
        <w:rPr>
          <w:b/>
          <w:sz w:val="24"/>
        </w:rPr>
        <w:t xml:space="preserve">  </w:t>
      </w:r>
      <w:r w:rsidRPr="00720EE4" w:rsidR="00377386">
        <w:rPr>
          <w:b/>
          <w:sz w:val="24"/>
        </w:rPr>
        <w:t>Information Collection Cost Burden</w:t>
      </w:r>
    </w:p>
    <w:p w:rsidRPr="00720EE4" w:rsidR="00912523" w:rsidP="00912523" w:rsidRDefault="00912523" w14:paraId="3AE8C715" w14:textId="77777777">
      <w:pPr>
        <w:rPr>
          <w:b/>
          <w:sz w:val="24"/>
        </w:rPr>
      </w:pPr>
    </w:p>
    <w:p w:rsidRPr="00720EE4" w:rsidR="00912523" w:rsidP="00912523" w:rsidRDefault="005C66DB" w14:paraId="0F2A46BA" w14:textId="7D88C3E7">
      <w:pPr>
        <w:rPr>
          <w:color w:val="000000"/>
          <w:sz w:val="24"/>
        </w:rPr>
      </w:pPr>
      <w:r w:rsidRPr="00720EE4">
        <w:rPr>
          <w:color w:val="000000"/>
          <w:sz w:val="24"/>
        </w:rPr>
        <w:t>OFCCP does not require a specific software, program, or format for the development, annual update, and maintenance of AAPs</w:t>
      </w:r>
      <w:r w:rsidRPr="00720EE4" w:rsidR="0089322E">
        <w:rPr>
          <w:color w:val="000000"/>
          <w:sz w:val="24"/>
        </w:rPr>
        <w:t>, nor will it for the online portal</w:t>
      </w:r>
      <w:r w:rsidRPr="00720EE4">
        <w:rPr>
          <w:color w:val="000000"/>
          <w:sz w:val="24"/>
        </w:rPr>
        <w:t>.  As such, there is no cost burden associated with this information collection such as software purchasing</w:t>
      </w:r>
      <w:r w:rsidR="003C645E">
        <w:rPr>
          <w:color w:val="000000"/>
          <w:sz w:val="24"/>
        </w:rPr>
        <w:t xml:space="preserve"> or</w:t>
      </w:r>
      <w:r w:rsidRPr="00720EE4">
        <w:rPr>
          <w:color w:val="000000"/>
          <w:sz w:val="24"/>
        </w:rPr>
        <w:t xml:space="preserve"> copying </w:t>
      </w:r>
      <w:r w:rsidR="003C645E">
        <w:rPr>
          <w:color w:val="000000"/>
          <w:sz w:val="24"/>
        </w:rPr>
        <w:t>and</w:t>
      </w:r>
      <w:r w:rsidRPr="00720EE4">
        <w:rPr>
          <w:color w:val="000000"/>
          <w:sz w:val="24"/>
        </w:rPr>
        <w:t xml:space="preserve"> mailing costs.  </w:t>
      </w:r>
    </w:p>
    <w:p w:rsidRPr="00720EE4" w:rsidR="005C66DB" w:rsidP="00912523" w:rsidRDefault="005C66DB" w14:paraId="63E7F5BB" w14:textId="77777777">
      <w:pPr>
        <w:rPr>
          <w:b/>
          <w:sz w:val="24"/>
        </w:rPr>
      </w:pPr>
    </w:p>
    <w:p w:rsidRPr="00720EE4" w:rsidR="00912523" w:rsidP="00912523" w:rsidRDefault="00912523" w14:paraId="54CAEE8F" w14:textId="77777777">
      <w:pPr>
        <w:rPr>
          <w:b/>
          <w:sz w:val="24"/>
        </w:rPr>
      </w:pPr>
      <w:r w:rsidRPr="00720EE4">
        <w:rPr>
          <w:b/>
          <w:bCs/>
          <w:sz w:val="24"/>
        </w:rPr>
        <w:t>14.</w:t>
      </w:r>
      <w:r w:rsidRPr="00720EE4">
        <w:rPr>
          <w:b/>
          <w:sz w:val="24"/>
        </w:rPr>
        <w:t xml:space="preserve">  </w:t>
      </w:r>
      <w:r w:rsidRPr="00720EE4" w:rsidR="00377386">
        <w:rPr>
          <w:b/>
          <w:sz w:val="24"/>
        </w:rPr>
        <w:t>Cost to the Federal Government</w:t>
      </w:r>
    </w:p>
    <w:p w:rsidRPr="00720EE4" w:rsidR="00377386" w:rsidP="00912523" w:rsidRDefault="00377386" w14:paraId="082EC5CF" w14:textId="77777777">
      <w:pPr>
        <w:tabs>
          <w:tab w:val="left" w:pos="0"/>
          <w:tab w:val="left" w:pos="720"/>
          <w:tab w:val="left" w:pos="6390"/>
        </w:tabs>
        <w:rPr>
          <w:b/>
          <w:sz w:val="24"/>
          <w:szCs w:val="24"/>
        </w:rPr>
      </w:pPr>
    </w:p>
    <w:p w:rsidRPr="00720EE4" w:rsidR="00383504" w:rsidRDefault="00F84ADA" w14:paraId="679462B3" w14:textId="5DB7169A">
      <w:pPr>
        <w:tabs>
          <w:tab w:val="left" w:pos="720"/>
          <w:tab w:val="left" w:pos="6300"/>
          <w:tab w:val="left" w:pos="6390"/>
        </w:tabs>
        <w:rPr>
          <w:sz w:val="24"/>
          <w:szCs w:val="24"/>
        </w:rPr>
      </w:pPr>
      <w:r w:rsidRPr="00720EE4">
        <w:rPr>
          <w:sz w:val="24"/>
          <w:szCs w:val="24"/>
        </w:rPr>
        <w:t xml:space="preserve">There are </w:t>
      </w:r>
      <w:r w:rsidR="00F101C9">
        <w:rPr>
          <w:sz w:val="24"/>
          <w:szCs w:val="24"/>
        </w:rPr>
        <w:t>three</w:t>
      </w:r>
      <w:r w:rsidRPr="00720EE4" w:rsidR="00F101C9">
        <w:rPr>
          <w:sz w:val="24"/>
          <w:szCs w:val="24"/>
        </w:rPr>
        <w:t xml:space="preserve"> </w:t>
      </w:r>
      <w:r w:rsidRPr="00720EE4">
        <w:rPr>
          <w:sz w:val="24"/>
          <w:szCs w:val="24"/>
        </w:rPr>
        <w:t xml:space="preserve">costs to the </w:t>
      </w:r>
      <w:r w:rsidR="00BB3412">
        <w:rPr>
          <w:sz w:val="24"/>
          <w:szCs w:val="24"/>
        </w:rPr>
        <w:t>F</w:t>
      </w:r>
      <w:r w:rsidRPr="00720EE4" w:rsidR="00BB3412">
        <w:rPr>
          <w:sz w:val="24"/>
          <w:szCs w:val="24"/>
        </w:rPr>
        <w:t xml:space="preserve">ederal </w:t>
      </w:r>
      <w:r w:rsidR="00BB3412">
        <w:rPr>
          <w:sz w:val="24"/>
          <w:szCs w:val="24"/>
        </w:rPr>
        <w:t>G</w:t>
      </w:r>
      <w:r w:rsidRPr="00720EE4" w:rsidR="00BB3412">
        <w:rPr>
          <w:sz w:val="24"/>
          <w:szCs w:val="24"/>
        </w:rPr>
        <w:t xml:space="preserve">overnment </w:t>
      </w:r>
      <w:r w:rsidRPr="00720EE4">
        <w:rPr>
          <w:sz w:val="24"/>
          <w:szCs w:val="24"/>
        </w:rPr>
        <w:t>regarding this ICR</w:t>
      </w:r>
      <w:r w:rsidRPr="00720EE4" w:rsidR="004E665D">
        <w:rPr>
          <w:sz w:val="24"/>
          <w:szCs w:val="24"/>
        </w:rPr>
        <w:t>:</w:t>
      </w:r>
      <w:r w:rsidRPr="00720EE4">
        <w:rPr>
          <w:sz w:val="24"/>
          <w:szCs w:val="24"/>
        </w:rPr>
        <w:t xml:space="preserve"> </w:t>
      </w:r>
      <w:r w:rsidR="000762A8">
        <w:rPr>
          <w:sz w:val="24"/>
          <w:szCs w:val="24"/>
        </w:rPr>
        <w:t xml:space="preserve"> (1) </w:t>
      </w:r>
      <w:r w:rsidR="00A77AFE">
        <w:rPr>
          <w:sz w:val="24"/>
          <w:szCs w:val="24"/>
        </w:rPr>
        <w:t>o</w:t>
      </w:r>
      <w:r w:rsidRPr="5E01684F" w:rsidR="20E3EE22">
        <w:rPr>
          <w:sz w:val="24"/>
          <w:szCs w:val="24"/>
        </w:rPr>
        <w:t xml:space="preserve">ne-time </w:t>
      </w:r>
      <w:r w:rsidRPr="5E01684F" w:rsidR="15F7EE8E">
        <w:rPr>
          <w:sz w:val="24"/>
          <w:szCs w:val="24"/>
        </w:rPr>
        <w:t xml:space="preserve">development </w:t>
      </w:r>
      <w:r w:rsidRPr="5E01684F" w:rsidR="20E3EE22">
        <w:rPr>
          <w:sz w:val="24"/>
          <w:szCs w:val="24"/>
        </w:rPr>
        <w:t xml:space="preserve">cost </w:t>
      </w:r>
      <w:r w:rsidR="009D39DE">
        <w:rPr>
          <w:sz w:val="24"/>
          <w:szCs w:val="24"/>
        </w:rPr>
        <w:t xml:space="preserve">for </w:t>
      </w:r>
      <w:r w:rsidR="00BB3412">
        <w:rPr>
          <w:sz w:val="24"/>
          <w:szCs w:val="24"/>
        </w:rPr>
        <w:t>F</w:t>
      </w:r>
      <w:r w:rsidRPr="00720EE4" w:rsidR="00BB3412">
        <w:rPr>
          <w:sz w:val="24"/>
          <w:szCs w:val="24"/>
        </w:rPr>
        <w:t xml:space="preserve">ederal </w:t>
      </w:r>
      <w:r w:rsidR="00BB3412">
        <w:rPr>
          <w:sz w:val="24"/>
          <w:szCs w:val="24"/>
        </w:rPr>
        <w:t>G</w:t>
      </w:r>
      <w:r w:rsidRPr="00720EE4" w:rsidR="00BB3412">
        <w:rPr>
          <w:sz w:val="24"/>
          <w:szCs w:val="24"/>
        </w:rPr>
        <w:t xml:space="preserve">overnment </w:t>
      </w:r>
      <w:r w:rsidRPr="5E01684F">
        <w:rPr>
          <w:sz w:val="24"/>
          <w:szCs w:val="24"/>
        </w:rPr>
        <w:t>employee</w:t>
      </w:r>
      <w:r w:rsidRPr="5E01684F" w:rsidR="4F572B89">
        <w:rPr>
          <w:sz w:val="24"/>
          <w:szCs w:val="24"/>
        </w:rPr>
        <w:t>s</w:t>
      </w:r>
      <w:r w:rsidR="00F101C9">
        <w:rPr>
          <w:sz w:val="24"/>
          <w:szCs w:val="24"/>
        </w:rPr>
        <w:t>,</w:t>
      </w:r>
      <w:r w:rsidRPr="00720EE4" w:rsidDel="00F101C9">
        <w:rPr>
          <w:sz w:val="24"/>
          <w:szCs w:val="24"/>
        </w:rPr>
        <w:t xml:space="preserve"> </w:t>
      </w:r>
      <w:r w:rsidR="000762A8">
        <w:rPr>
          <w:sz w:val="24"/>
          <w:szCs w:val="24"/>
        </w:rPr>
        <w:t xml:space="preserve">(2) </w:t>
      </w:r>
      <w:r w:rsidR="00A77AFE">
        <w:rPr>
          <w:sz w:val="24"/>
          <w:szCs w:val="24"/>
        </w:rPr>
        <w:t>o</w:t>
      </w:r>
      <w:r w:rsidRPr="5E01684F" w:rsidR="1011E6CA">
        <w:rPr>
          <w:sz w:val="24"/>
          <w:szCs w:val="24"/>
        </w:rPr>
        <w:t xml:space="preserve">ne-time </w:t>
      </w:r>
      <w:r w:rsidRPr="00720EE4">
        <w:rPr>
          <w:sz w:val="24"/>
          <w:szCs w:val="24"/>
        </w:rPr>
        <w:t>contracted labor cost</w:t>
      </w:r>
      <w:r w:rsidRPr="64EA0A6F" w:rsidR="276EBD54">
        <w:rPr>
          <w:sz w:val="24"/>
          <w:szCs w:val="24"/>
        </w:rPr>
        <w:t>,</w:t>
      </w:r>
      <w:r w:rsidR="00F101C9">
        <w:rPr>
          <w:sz w:val="24"/>
          <w:szCs w:val="24"/>
        </w:rPr>
        <w:t xml:space="preserve"> </w:t>
      </w:r>
      <w:r w:rsidR="00A77AFE">
        <w:rPr>
          <w:sz w:val="24"/>
          <w:szCs w:val="24"/>
        </w:rPr>
        <w:t>a</w:t>
      </w:r>
      <w:r w:rsidRPr="5E01684F" w:rsidR="7A8F13E1">
        <w:rPr>
          <w:sz w:val="24"/>
          <w:szCs w:val="24"/>
        </w:rPr>
        <w:t xml:space="preserve">nnual </w:t>
      </w:r>
      <w:r w:rsidR="00F101C9">
        <w:rPr>
          <w:sz w:val="24"/>
          <w:szCs w:val="24"/>
        </w:rPr>
        <w:t>AAP-VI site hosting</w:t>
      </w:r>
      <w:r w:rsidR="004571E7">
        <w:rPr>
          <w:sz w:val="24"/>
          <w:szCs w:val="24"/>
        </w:rPr>
        <w:t>,</w:t>
      </w:r>
      <w:r w:rsidR="009D39DE">
        <w:rPr>
          <w:sz w:val="24"/>
          <w:szCs w:val="24"/>
        </w:rPr>
        <w:t xml:space="preserve"> and</w:t>
      </w:r>
      <w:r w:rsidR="004571E7">
        <w:rPr>
          <w:sz w:val="24"/>
          <w:szCs w:val="24"/>
        </w:rPr>
        <w:t xml:space="preserve"> </w:t>
      </w:r>
      <w:r w:rsidRPr="64EA0A6F" w:rsidR="004571E7">
        <w:rPr>
          <w:sz w:val="24"/>
          <w:szCs w:val="24"/>
        </w:rPr>
        <w:t>operation</w:t>
      </w:r>
      <w:r w:rsidRPr="64EA0A6F" w:rsidR="000C5843">
        <w:rPr>
          <w:sz w:val="24"/>
          <w:szCs w:val="24"/>
        </w:rPr>
        <w:t>s</w:t>
      </w:r>
      <w:r w:rsidR="004571E7">
        <w:rPr>
          <w:sz w:val="24"/>
          <w:szCs w:val="24"/>
        </w:rPr>
        <w:t xml:space="preserve"> and maintenance</w:t>
      </w:r>
      <w:r w:rsidR="00F101C9">
        <w:rPr>
          <w:sz w:val="24"/>
          <w:szCs w:val="24"/>
        </w:rPr>
        <w:t xml:space="preserve"> cost</w:t>
      </w:r>
      <w:r w:rsidR="004571E7">
        <w:rPr>
          <w:sz w:val="24"/>
          <w:szCs w:val="24"/>
        </w:rPr>
        <w:t>s</w:t>
      </w:r>
      <w:r w:rsidR="008E1AC2">
        <w:rPr>
          <w:sz w:val="24"/>
          <w:szCs w:val="24"/>
        </w:rPr>
        <w:t>.</w:t>
      </w:r>
      <w:r w:rsidRPr="00720EE4">
        <w:rPr>
          <w:sz w:val="24"/>
          <w:szCs w:val="24"/>
        </w:rPr>
        <w:t xml:space="preserve"> </w:t>
      </w:r>
      <w:r w:rsidR="00A77AFE">
        <w:rPr>
          <w:sz w:val="24"/>
          <w:szCs w:val="24"/>
        </w:rPr>
        <w:t xml:space="preserve"> </w:t>
      </w:r>
      <w:r w:rsidRPr="01770107" w:rsidDel="00F84ADA" w:rsidR="60BBD222">
        <w:rPr>
          <w:sz w:val="24"/>
          <w:szCs w:val="24"/>
        </w:rPr>
        <w:t xml:space="preserve">The total cost to the Federal Government </w:t>
      </w:r>
      <w:r w:rsidRPr="5E01684F" w:rsidR="6C371D67">
        <w:rPr>
          <w:sz w:val="24"/>
          <w:szCs w:val="24"/>
        </w:rPr>
        <w:t xml:space="preserve">in the first </w:t>
      </w:r>
      <w:r w:rsidR="0040347A">
        <w:rPr>
          <w:sz w:val="24"/>
          <w:szCs w:val="24"/>
        </w:rPr>
        <w:t>year,</w:t>
      </w:r>
      <w:r w:rsidR="004571E7">
        <w:rPr>
          <w:sz w:val="24"/>
          <w:szCs w:val="24"/>
        </w:rPr>
        <w:t xml:space="preserve"> including</w:t>
      </w:r>
      <w:r w:rsidRPr="00504B05" w:rsidR="00504B05">
        <w:rPr>
          <w:sz w:val="24"/>
          <w:szCs w:val="24"/>
        </w:rPr>
        <w:t xml:space="preserve"> </w:t>
      </w:r>
      <w:r w:rsidRPr="00504B05" w:rsidR="004571E7">
        <w:rPr>
          <w:sz w:val="24"/>
          <w:szCs w:val="24"/>
        </w:rPr>
        <w:t>develop</w:t>
      </w:r>
      <w:r w:rsidR="004571E7">
        <w:rPr>
          <w:sz w:val="24"/>
          <w:szCs w:val="24"/>
        </w:rPr>
        <w:t xml:space="preserve">ment of </w:t>
      </w:r>
      <w:r w:rsidRPr="00504B05" w:rsidR="00504B05">
        <w:rPr>
          <w:sz w:val="24"/>
          <w:szCs w:val="24"/>
        </w:rPr>
        <w:t>AAP-VI</w:t>
      </w:r>
      <w:r w:rsidR="0040347A">
        <w:rPr>
          <w:sz w:val="24"/>
          <w:szCs w:val="24"/>
        </w:rPr>
        <w:t>,</w:t>
      </w:r>
      <w:r w:rsidRPr="00504B05" w:rsidR="00504B05">
        <w:rPr>
          <w:sz w:val="24"/>
          <w:szCs w:val="24"/>
        </w:rPr>
        <w:t xml:space="preserve"> is $</w:t>
      </w:r>
      <w:r w:rsidRPr="240E9021" w:rsidR="71C56A66">
        <w:rPr>
          <w:sz w:val="24"/>
          <w:szCs w:val="24"/>
        </w:rPr>
        <w:t>8</w:t>
      </w:r>
      <w:r w:rsidRPr="00504B05" w:rsidR="00504B05">
        <w:rPr>
          <w:sz w:val="24"/>
          <w:szCs w:val="24"/>
        </w:rPr>
        <w:t xml:space="preserve">53,019.  This cost includes OFCCP staff </w:t>
      </w:r>
      <w:r w:rsidRPr="01770107" w:rsidDel="00F84ADA" w:rsidR="60BBD222">
        <w:rPr>
          <w:sz w:val="24"/>
          <w:szCs w:val="24"/>
        </w:rPr>
        <w:t>salar</w:t>
      </w:r>
      <w:r w:rsidR="0040347A">
        <w:rPr>
          <w:sz w:val="24"/>
          <w:szCs w:val="24"/>
        </w:rPr>
        <w:t>ies</w:t>
      </w:r>
      <w:r w:rsidRPr="00504B05" w:rsidR="00504B05">
        <w:rPr>
          <w:sz w:val="24"/>
          <w:szCs w:val="24"/>
        </w:rPr>
        <w:t xml:space="preserve"> ((10 hours*$119.49) + (650 hours*$119.49) + (30 hours*$138.50)), the cost of contracted labor ($370,000</w:t>
      </w:r>
      <w:r w:rsidRPr="240E9021" w:rsidR="00504B05">
        <w:rPr>
          <w:sz w:val="24"/>
          <w:szCs w:val="24"/>
        </w:rPr>
        <w:t>)</w:t>
      </w:r>
      <w:r w:rsidRPr="240E9021" w:rsidR="3C132BA8">
        <w:rPr>
          <w:sz w:val="24"/>
          <w:szCs w:val="24"/>
        </w:rPr>
        <w:t xml:space="preserve">, and a $400,000 site hosting </w:t>
      </w:r>
      <w:r w:rsidR="009D39DE">
        <w:rPr>
          <w:sz w:val="24"/>
          <w:szCs w:val="24"/>
        </w:rPr>
        <w:lastRenderedPageBreak/>
        <w:t xml:space="preserve">and maintenance </w:t>
      </w:r>
      <w:r w:rsidRPr="240E9021" w:rsidR="3C132BA8">
        <w:rPr>
          <w:sz w:val="24"/>
          <w:szCs w:val="24"/>
        </w:rPr>
        <w:t>cost</w:t>
      </w:r>
      <w:r w:rsidRPr="240E9021" w:rsidR="00504B05">
        <w:rPr>
          <w:sz w:val="24"/>
          <w:szCs w:val="24"/>
        </w:rPr>
        <w:t>.</w:t>
      </w:r>
      <w:r w:rsidRPr="5E01684F" w:rsidR="7F2D8610">
        <w:rPr>
          <w:sz w:val="24"/>
          <w:szCs w:val="24"/>
        </w:rPr>
        <w:t xml:space="preserve"> </w:t>
      </w:r>
      <w:r w:rsidRPr="01770107" w:rsidR="00ED32AC">
        <w:rPr>
          <w:sz w:val="24"/>
          <w:szCs w:val="24"/>
        </w:rPr>
        <w:t xml:space="preserve"> </w:t>
      </w:r>
      <w:r w:rsidRPr="5E01684F" w:rsidR="7F2D8610">
        <w:rPr>
          <w:sz w:val="24"/>
          <w:szCs w:val="24"/>
        </w:rPr>
        <w:t>The total cost to the Federal Government in subsequent years is $400,000</w:t>
      </w:r>
      <w:r w:rsidRPr="01770107" w:rsidR="1A58A59D">
        <w:rPr>
          <w:sz w:val="24"/>
          <w:szCs w:val="24"/>
        </w:rPr>
        <w:t xml:space="preserve"> for site hosting</w:t>
      </w:r>
      <w:r w:rsidR="004571E7">
        <w:rPr>
          <w:sz w:val="24"/>
          <w:szCs w:val="24"/>
        </w:rPr>
        <w:t>, operations, and maintenance</w:t>
      </w:r>
      <w:r w:rsidRPr="01770107" w:rsidR="694BA346">
        <w:rPr>
          <w:sz w:val="24"/>
          <w:szCs w:val="24"/>
        </w:rPr>
        <w:t xml:space="preserve">. </w:t>
      </w:r>
      <w:r w:rsidR="00A77AFE">
        <w:rPr>
          <w:sz w:val="24"/>
          <w:szCs w:val="24"/>
        </w:rPr>
        <w:t xml:space="preserve"> </w:t>
      </w:r>
      <w:r w:rsidRPr="01770107" w:rsidR="6491ED9C">
        <w:rPr>
          <w:sz w:val="24"/>
          <w:szCs w:val="24"/>
        </w:rPr>
        <w:t>The average annual cost to the Federal Government is $551,006</w:t>
      </w:r>
      <w:r w:rsidRPr="01770107" w:rsidR="6172467A">
        <w:rPr>
          <w:sz w:val="24"/>
          <w:szCs w:val="24"/>
        </w:rPr>
        <w:t>.</w:t>
      </w:r>
      <w:r w:rsidRPr="01770107">
        <w:rPr>
          <w:rStyle w:val="FootnoteReference"/>
          <w:sz w:val="24"/>
          <w:szCs w:val="24"/>
        </w:rPr>
        <w:footnoteReference w:id="23"/>
      </w:r>
    </w:p>
    <w:p w:rsidRPr="00720EE4" w:rsidR="00912523" w:rsidP="00912523" w:rsidRDefault="00912523" w14:paraId="70538B17" w14:textId="77777777">
      <w:pPr>
        <w:tabs>
          <w:tab w:val="left" w:pos="720"/>
          <w:tab w:val="left" w:pos="6030"/>
          <w:tab w:val="left" w:pos="6300"/>
          <w:tab w:val="left" w:pos="6390"/>
          <w:tab w:val="left" w:pos="6930"/>
        </w:tabs>
        <w:rPr>
          <w:sz w:val="24"/>
          <w:szCs w:val="24"/>
        </w:rPr>
      </w:pPr>
    </w:p>
    <w:p w:rsidRPr="00720EE4" w:rsidR="00912523" w:rsidP="00912523" w:rsidRDefault="00912523" w14:paraId="500BF800" w14:textId="77777777">
      <w:pPr>
        <w:rPr>
          <w:b/>
          <w:sz w:val="24"/>
        </w:rPr>
      </w:pPr>
      <w:r w:rsidRPr="00720EE4">
        <w:rPr>
          <w:b/>
          <w:bCs/>
          <w:sz w:val="24"/>
        </w:rPr>
        <w:t>15.</w:t>
      </w:r>
      <w:r w:rsidRPr="00720EE4">
        <w:rPr>
          <w:b/>
          <w:sz w:val="24"/>
        </w:rPr>
        <w:t xml:space="preserve">  </w:t>
      </w:r>
      <w:r w:rsidRPr="00720EE4" w:rsidR="000750E4">
        <w:rPr>
          <w:b/>
          <w:sz w:val="24"/>
        </w:rPr>
        <w:t xml:space="preserve">Program Changes or Burden Adjustments </w:t>
      </w:r>
    </w:p>
    <w:p w:rsidRPr="00720EE4" w:rsidR="00912523" w:rsidP="00912523" w:rsidRDefault="00912523" w14:paraId="76360192" w14:textId="77777777">
      <w:pPr>
        <w:rPr>
          <w:bCs/>
          <w:sz w:val="24"/>
          <w:szCs w:val="24"/>
        </w:rPr>
      </w:pPr>
    </w:p>
    <w:p w:rsidRPr="00720EE4" w:rsidR="00912523" w:rsidP="00912523" w:rsidRDefault="000750E4" w14:paraId="10E73B9F" w14:textId="77777777">
      <w:pPr>
        <w:rPr>
          <w:sz w:val="24"/>
          <w:szCs w:val="24"/>
        </w:rPr>
      </w:pPr>
      <w:r w:rsidRPr="00720EE4">
        <w:rPr>
          <w:bCs/>
          <w:sz w:val="24"/>
          <w:szCs w:val="24"/>
        </w:rPr>
        <w:t>This is a new information collection</w:t>
      </w:r>
      <w:r w:rsidRPr="00720EE4" w:rsidR="00912523">
        <w:rPr>
          <w:bCs/>
          <w:sz w:val="24"/>
          <w:szCs w:val="24"/>
        </w:rPr>
        <w:t>.</w:t>
      </w:r>
    </w:p>
    <w:p w:rsidRPr="00720EE4" w:rsidR="00912523" w:rsidP="00912523" w:rsidRDefault="00912523" w14:paraId="11E706BA" w14:textId="77777777">
      <w:pPr>
        <w:tabs>
          <w:tab w:val="num" w:pos="90"/>
        </w:tabs>
        <w:ind w:left="90" w:hanging="90"/>
        <w:rPr>
          <w:b/>
          <w:sz w:val="24"/>
          <w:szCs w:val="24"/>
        </w:rPr>
      </w:pPr>
    </w:p>
    <w:p w:rsidRPr="00720EE4" w:rsidR="000750E4" w:rsidP="00912523" w:rsidRDefault="00912523" w14:paraId="66F9B761" w14:textId="77777777">
      <w:pPr>
        <w:tabs>
          <w:tab w:val="left" w:pos="720"/>
          <w:tab w:val="left" w:pos="6030"/>
          <w:tab w:val="left" w:pos="6300"/>
          <w:tab w:val="left" w:pos="6390"/>
          <w:tab w:val="left" w:pos="6930"/>
        </w:tabs>
        <w:rPr>
          <w:b/>
          <w:sz w:val="24"/>
        </w:rPr>
      </w:pPr>
      <w:r w:rsidRPr="00720EE4">
        <w:rPr>
          <w:b/>
          <w:bCs/>
          <w:sz w:val="24"/>
        </w:rPr>
        <w:t>16.</w:t>
      </w:r>
      <w:r w:rsidRPr="00720EE4">
        <w:rPr>
          <w:b/>
          <w:sz w:val="24"/>
        </w:rPr>
        <w:t xml:space="preserve">  </w:t>
      </w:r>
      <w:r w:rsidRPr="00720EE4" w:rsidR="000750E4">
        <w:rPr>
          <w:b/>
          <w:sz w:val="24"/>
        </w:rPr>
        <w:t xml:space="preserve">Publication of Data for Statistical Use </w:t>
      </w:r>
    </w:p>
    <w:p w:rsidRPr="00720EE4" w:rsidR="000750E4" w:rsidP="00912523" w:rsidRDefault="000750E4" w14:paraId="14FCEBB8" w14:textId="77777777">
      <w:pPr>
        <w:tabs>
          <w:tab w:val="left" w:pos="720"/>
          <w:tab w:val="left" w:pos="6030"/>
          <w:tab w:val="left" w:pos="6300"/>
          <w:tab w:val="left" w:pos="6390"/>
          <w:tab w:val="left" w:pos="6930"/>
        </w:tabs>
        <w:rPr>
          <w:b/>
          <w:sz w:val="24"/>
        </w:rPr>
      </w:pPr>
    </w:p>
    <w:p w:rsidRPr="00720EE4" w:rsidR="00912523" w:rsidP="00912523" w:rsidRDefault="000750E4" w14:paraId="45EB9F66" w14:textId="77777777">
      <w:pPr>
        <w:tabs>
          <w:tab w:val="left" w:pos="720"/>
          <w:tab w:val="left" w:pos="6030"/>
          <w:tab w:val="left" w:pos="6300"/>
          <w:tab w:val="left" w:pos="6390"/>
          <w:tab w:val="left" w:pos="6930"/>
        </w:tabs>
        <w:rPr>
          <w:sz w:val="24"/>
          <w:szCs w:val="24"/>
        </w:rPr>
      </w:pPr>
      <w:r w:rsidRPr="00720EE4">
        <w:rPr>
          <w:sz w:val="24"/>
          <w:szCs w:val="24"/>
        </w:rPr>
        <w:t>There will be no publication of statistical analysis related to this collection.</w:t>
      </w:r>
    </w:p>
    <w:p w:rsidRPr="00720EE4" w:rsidR="00912523" w:rsidP="00912523" w:rsidRDefault="00912523" w14:paraId="7B4EF6AD" w14:textId="77777777">
      <w:pPr>
        <w:tabs>
          <w:tab w:val="left" w:pos="720"/>
          <w:tab w:val="left" w:pos="6030"/>
          <w:tab w:val="left" w:pos="6300"/>
          <w:tab w:val="left" w:pos="6390"/>
          <w:tab w:val="left" w:pos="6930"/>
        </w:tabs>
        <w:rPr>
          <w:b/>
          <w:sz w:val="24"/>
          <w:szCs w:val="24"/>
        </w:rPr>
      </w:pPr>
    </w:p>
    <w:p w:rsidRPr="00720EE4" w:rsidR="00912523" w:rsidP="00912523" w:rsidRDefault="00912523" w14:paraId="1F5A36E6" w14:textId="77777777">
      <w:pPr>
        <w:rPr>
          <w:b/>
          <w:sz w:val="24"/>
        </w:rPr>
      </w:pPr>
      <w:r w:rsidRPr="00720EE4">
        <w:rPr>
          <w:b/>
          <w:sz w:val="24"/>
        </w:rPr>
        <w:t xml:space="preserve">17.  </w:t>
      </w:r>
      <w:r w:rsidRPr="00720EE4" w:rsidR="000750E4">
        <w:rPr>
          <w:b/>
          <w:sz w:val="24"/>
        </w:rPr>
        <w:t>Approval Not to Display the Expiration Date</w:t>
      </w:r>
    </w:p>
    <w:p w:rsidRPr="00720EE4" w:rsidR="000750E4" w:rsidP="00912523" w:rsidRDefault="000750E4" w14:paraId="62F8C655" w14:textId="77777777">
      <w:pPr>
        <w:rPr>
          <w:sz w:val="24"/>
        </w:rPr>
      </w:pPr>
    </w:p>
    <w:p w:rsidRPr="00720EE4" w:rsidR="00912523" w:rsidP="00912523" w:rsidRDefault="000750E4" w14:paraId="7CDD8E3B" w14:textId="53EB0ACE">
      <w:pPr>
        <w:rPr>
          <w:sz w:val="24"/>
        </w:rPr>
      </w:pPr>
      <w:r w:rsidRPr="00720EE4">
        <w:rPr>
          <w:sz w:val="24"/>
        </w:rPr>
        <w:t xml:space="preserve">OFCCP is not seeking approval </w:t>
      </w:r>
      <w:r w:rsidR="00A77AFE">
        <w:rPr>
          <w:sz w:val="24"/>
        </w:rPr>
        <w:t xml:space="preserve">not </w:t>
      </w:r>
      <w:r w:rsidRPr="00720EE4">
        <w:rPr>
          <w:sz w:val="24"/>
        </w:rPr>
        <w:t>to display the expiration date of this collection.</w:t>
      </w:r>
    </w:p>
    <w:p w:rsidRPr="00720EE4" w:rsidR="00912523" w:rsidP="00912523" w:rsidRDefault="00912523" w14:paraId="5AA66817" w14:textId="77777777">
      <w:pPr>
        <w:rPr>
          <w:sz w:val="24"/>
        </w:rPr>
      </w:pPr>
    </w:p>
    <w:p w:rsidRPr="00720EE4" w:rsidR="00912523" w:rsidP="00912523" w:rsidRDefault="00912523" w14:paraId="3CF42188" w14:textId="77777777">
      <w:pPr>
        <w:rPr>
          <w:b/>
          <w:sz w:val="24"/>
        </w:rPr>
      </w:pPr>
      <w:r w:rsidRPr="00720EE4">
        <w:rPr>
          <w:b/>
          <w:sz w:val="24"/>
        </w:rPr>
        <w:t xml:space="preserve">18.  </w:t>
      </w:r>
      <w:r w:rsidRPr="00720EE4" w:rsidR="000750E4">
        <w:rPr>
          <w:b/>
          <w:sz w:val="24"/>
        </w:rPr>
        <w:t>Exceptions to the Certification Statement</w:t>
      </w:r>
    </w:p>
    <w:p w:rsidRPr="00720EE4" w:rsidR="00912523" w:rsidP="00912523" w:rsidRDefault="00912523" w14:paraId="7CB73CD0" w14:textId="77777777">
      <w:pPr>
        <w:rPr>
          <w:b/>
          <w:sz w:val="24"/>
        </w:rPr>
      </w:pPr>
    </w:p>
    <w:p w:rsidRPr="00720EE4" w:rsidR="00CA4849" w:rsidP="000750E4" w:rsidRDefault="000750E4" w14:paraId="1CA4F2AC" w14:textId="77777777">
      <w:pPr>
        <w:rPr>
          <w:sz w:val="24"/>
        </w:rPr>
      </w:pPr>
      <w:r w:rsidRPr="00720EE4">
        <w:rPr>
          <w:sz w:val="24"/>
        </w:rPr>
        <w:t>OFCCP is not seeking exceptions to the certification statement of this collection.</w:t>
      </w:r>
    </w:p>
    <w:p w:rsidRPr="00720EE4" w:rsidR="000750E4" w:rsidP="000750E4" w:rsidRDefault="000750E4" w14:paraId="7EFE74BE" w14:textId="77777777">
      <w:pPr>
        <w:rPr>
          <w:sz w:val="24"/>
        </w:rPr>
      </w:pPr>
    </w:p>
    <w:p w:rsidRPr="00720EE4" w:rsidR="00912523" w:rsidP="00912523" w:rsidRDefault="00912523" w14:paraId="02D18913" w14:textId="7B0A5A26">
      <w:pPr>
        <w:rPr>
          <w:sz w:val="24"/>
        </w:rPr>
      </w:pPr>
      <w:r w:rsidRPr="00720EE4">
        <w:rPr>
          <w:b/>
          <w:sz w:val="24"/>
        </w:rPr>
        <w:t>B. Collections of Information Employing Statistical Methods</w:t>
      </w:r>
    </w:p>
    <w:p w:rsidRPr="00720EE4" w:rsidR="00912523" w:rsidP="00912523" w:rsidRDefault="00912523" w14:paraId="3B844EAE" w14:textId="77777777">
      <w:pPr>
        <w:rPr>
          <w:sz w:val="24"/>
        </w:rPr>
      </w:pPr>
    </w:p>
    <w:p w:rsidRPr="00720EE4" w:rsidR="005C3C03" w:rsidRDefault="006D24AC" w14:paraId="5DCB4C91" w14:textId="205C222F">
      <w:pPr>
        <w:rPr>
          <w:sz w:val="24"/>
        </w:rPr>
      </w:pPr>
      <w:r>
        <w:rPr>
          <w:sz w:val="24"/>
        </w:rPr>
        <w:t>A</w:t>
      </w:r>
      <w:r w:rsidRPr="00720EE4" w:rsidR="00BE67DF">
        <w:rPr>
          <w:sz w:val="24"/>
        </w:rPr>
        <w:t xml:space="preserve">s represented in this ICR, </w:t>
      </w:r>
      <w:r>
        <w:rPr>
          <w:sz w:val="24"/>
        </w:rPr>
        <w:t xml:space="preserve">AAP-VI </w:t>
      </w:r>
      <w:r w:rsidRPr="00720EE4" w:rsidR="00BE67DF">
        <w:rPr>
          <w:sz w:val="24"/>
        </w:rPr>
        <w:t xml:space="preserve">does not employ the use of statistical methods. </w:t>
      </w:r>
    </w:p>
    <w:sectPr w:rsidRPr="00720EE4" w:rsidR="005C3C03" w:rsidSect="00240912">
      <w:headerReference w:type="default" r:id="rId11"/>
      <w:footerReference w:type="default" r:id="rId12"/>
      <w:headerReference w:type="first" r:id="rId13"/>
      <w:footerReference w:type="first" r:id="rId14"/>
      <w:pgSz w:w="12240" w:h="15840" w:orient="portrait"/>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7922" w:rsidP="00C759E1" w:rsidRDefault="00567922" w14:paraId="3C466314" w14:textId="77777777">
      <w:r>
        <w:separator/>
      </w:r>
    </w:p>
  </w:endnote>
  <w:endnote w:type="continuationSeparator" w:id="0">
    <w:p w:rsidR="00567922" w:rsidP="00C759E1" w:rsidRDefault="00567922" w14:paraId="6FE7FE8D" w14:textId="77777777">
      <w:r>
        <w:continuationSeparator/>
      </w:r>
    </w:p>
  </w:endnote>
  <w:endnote w:type="continuationNotice" w:id="1">
    <w:p w:rsidR="00567922" w:rsidRDefault="00567922" w14:paraId="2852C9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roma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9717767"/>
      <w:docPartObj>
        <w:docPartGallery w:val="Page Numbers (Bottom of Page)"/>
        <w:docPartUnique/>
      </w:docPartObj>
    </w:sdtPr>
    <w:sdtEndPr>
      <w:rPr>
        <w:noProof/>
      </w:rPr>
    </w:sdtEndPr>
    <w:sdtContent>
      <w:p w:rsidR="00E9460C" w:rsidRDefault="00E9460C" w14:paraId="4B8A7BD2" w14:textId="17CE1F59">
        <w:pPr>
          <w:pStyle w:val="Footer"/>
          <w:jc w:val="center"/>
        </w:pPr>
        <w:r>
          <w:fldChar w:fldCharType="begin"/>
        </w:r>
        <w:r>
          <w:instrText xml:space="preserve"> PAGE   \* MERGEFORMAT </w:instrText>
        </w:r>
        <w:r>
          <w:fldChar w:fldCharType="separate"/>
        </w:r>
        <w:r w:rsidR="005178F2">
          <w:rPr>
            <w:noProof/>
          </w:rPr>
          <w:t>12</w:t>
        </w:r>
        <w:r>
          <w:rPr>
            <w:noProof/>
          </w:rPr>
          <w:fldChar w:fldCharType="end"/>
        </w:r>
      </w:p>
    </w:sdtContent>
  </w:sdt>
  <w:p w:rsidR="00E9460C" w:rsidP="005C3C03" w:rsidRDefault="00E9460C" w14:paraId="63CDC0B4"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60C" w:rsidRDefault="00E9460C" w14:paraId="6662B006" w14:textId="77777777">
    <w:pPr>
      <w:pStyle w:val="Footer"/>
    </w:pPr>
    <w:r>
      <w:tab/>
    </w:r>
    <w: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7922" w:rsidP="00C759E1" w:rsidRDefault="00567922" w14:paraId="545D28DE" w14:textId="77777777">
      <w:r>
        <w:separator/>
      </w:r>
    </w:p>
  </w:footnote>
  <w:footnote w:type="continuationSeparator" w:id="0">
    <w:p w:rsidR="00567922" w:rsidP="00C759E1" w:rsidRDefault="00567922" w14:paraId="2D856C28" w14:textId="77777777">
      <w:r>
        <w:continuationSeparator/>
      </w:r>
    </w:p>
  </w:footnote>
  <w:footnote w:type="continuationNotice" w:id="1">
    <w:p w:rsidR="00567922" w:rsidRDefault="00567922" w14:paraId="0AB8C948" w14:textId="77777777"/>
  </w:footnote>
  <w:footnote w:id="2">
    <w:p w:rsidR="00E9460C" w:rsidP="00F8371C" w:rsidRDefault="00E9460C" w14:paraId="6B0EBF1A" w14:textId="79A275F9">
      <w:pPr>
        <w:pStyle w:val="FootnoteText"/>
      </w:pPr>
      <w:r w:rsidRPr="006158A8">
        <w:rPr>
          <w:rStyle w:val="FootnoteReference"/>
        </w:rPr>
        <w:footnoteRef/>
      </w:r>
      <w:r>
        <w:rPr>
          <w:vertAlign w:val="superscript"/>
        </w:rPr>
        <w:t xml:space="preserve"> </w:t>
      </w:r>
      <w:r>
        <w:t xml:space="preserve">OFCCP’s jurisdictional thresholds are available at </w:t>
      </w:r>
      <w:hyperlink w:history="1" r:id="rId1">
        <w:r w:rsidRPr="00AE4E3E">
          <w:rPr>
            <w:rStyle w:val="Hyperlink"/>
          </w:rPr>
          <w:t>https://www.dol.gov/ofccp/posters/Infographics/files/JurisdnThresholds-7_ENGESQA508c.pdf</w:t>
        </w:r>
      </w:hyperlink>
      <w:r>
        <w:t xml:space="preserve"> (last accessed </w:t>
      </w:r>
      <w:r w:rsidR="00086FD1">
        <w:t>September 3</w:t>
      </w:r>
      <w:r>
        <w:t>, 2020).</w:t>
      </w:r>
    </w:p>
  </w:footnote>
  <w:footnote w:id="3">
    <w:p w:rsidR="00E9460C" w:rsidRDefault="00E9460C" w14:paraId="2FC62A01" w14:textId="77777777">
      <w:pPr>
        <w:pStyle w:val="FootnoteText"/>
      </w:pPr>
      <w:r>
        <w:rPr>
          <w:rStyle w:val="FootnoteReference"/>
        </w:rPr>
        <w:footnoteRef/>
      </w:r>
      <w:r>
        <w:t xml:space="preserve"> </w:t>
      </w:r>
      <w:r w:rsidRPr="008C62E7">
        <w:rPr>
          <w:color w:val="auto"/>
        </w:rPr>
        <w:t>Here</w:t>
      </w:r>
      <w:r>
        <w:rPr>
          <w:color w:val="auto"/>
        </w:rPr>
        <w:t>in</w:t>
      </w:r>
      <w:r w:rsidRPr="008C62E7">
        <w:rPr>
          <w:color w:val="auto"/>
        </w:rPr>
        <w:t>after all references to “contractors” will include federal contractors and subcontractors unless otherwise stated</w:t>
      </w:r>
      <w:r>
        <w:rPr>
          <w:color w:val="auto"/>
        </w:rPr>
        <w:t>.</w:t>
      </w:r>
    </w:p>
  </w:footnote>
  <w:footnote w:id="4">
    <w:p w:rsidR="00E9460C" w:rsidP="007A7A3D" w:rsidRDefault="00E9460C" w14:paraId="727CBDC4" w14:textId="6894C9F1">
      <w:pPr>
        <w:pStyle w:val="FootnoteText"/>
      </w:pPr>
      <w:r>
        <w:rPr>
          <w:rStyle w:val="FootnoteReference"/>
        </w:rPr>
        <w:footnoteRef/>
      </w:r>
      <w:r>
        <w:t xml:space="preserve"> Government Accountability Office, </w:t>
      </w:r>
      <w:r w:rsidRPr="00430A3C">
        <w:rPr>
          <w:i/>
        </w:rPr>
        <w:t xml:space="preserve">Equal </w:t>
      </w:r>
      <w:r>
        <w:rPr>
          <w:i/>
        </w:rPr>
        <w:t xml:space="preserve">Employment </w:t>
      </w:r>
      <w:r w:rsidRPr="00430A3C">
        <w:rPr>
          <w:i/>
        </w:rPr>
        <w:t>Opportunity: Strengt</w:t>
      </w:r>
      <w:r>
        <w:rPr>
          <w:i/>
        </w:rPr>
        <w:t>hen</w:t>
      </w:r>
      <w:r w:rsidRPr="00430A3C">
        <w:rPr>
          <w:i/>
        </w:rPr>
        <w:t>ing Oversight Could Improve Federal Contractor Nondiscrimination Compliance</w:t>
      </w:r>
      <w:r>
        <w:t xml:space="preserve">, September 2016, available at </w:t>
      </w:r>
      <w:hyperlink w:history="1" r:id="rId2">
        <w:r w:rsidRPr="00AE4E3E">
          <w:rPr>
            <w:rStyle w:val="Hyperlink"/>
          </w:rPr>
          <w:t>https://www.gao.gov/assets/680/679960.pdf</w:t>
        </w:r>
      </w:hyperlink>
      <w:r>
        <w:t xml:space="preserve"> (last accessed </w:t>
      </w:r>
      <w:r w:rsidR="00086FD1">
        <w:t>September 3</w:t>
      </w:r>
      <w:r>
        <w:t>, 2020).</w:t>
      </w:r>
    </w:p>
  </w:footnote>
  <w:footnote w:id="5">
    <w:p w:rsidRPr="007A7A3D" w:rsidR="00E9460C" w:rsidRDefault="00E9460C" w14:paraId="7D1C5119" w14:textId="6880036C">
      <w:pPr>
        <w:pStyle w:val="FootnoteText"/>
        <w:rPr>
          <w:i/>
        </w:rPr>
      </w:pPr>
      <w:r>
        <w:rPr>
          <w:rStyle w:val="FootnoteReference"/>
        </w:rPr>
        <w:footnoteRef/>
      </w:r>
      <w:r>
        <w:t xml:space="preserve"> </w:t>
      </w:r>
      <w:r>
        <w:rPr>
          <w:i/>
        </w:rPr>
        <w:t>Id.</w:t>
      </w:r>
    </w:p>
  </w:footnote>
  <w:footnote w:id="6">
    <w:p w:rsidRPr="008C62E7" w:rsidR="00E9460C" w:rsidP="007A7A3D" w:rsidRDefault="00E9460C" w14:paraId="137867D0" w14:textId="2F13FF63">
      <w:pPr>
        <w:tabs>
          <w:tab w:val="left" w:pos="3060"/>
        </w:tabs>
      </w:pPr>
      <w:r w:rsidRPr="006158A8">
        <w:rPr>
          <w:rStyle w:val="FootnoteReference"/>
        </w:rPr>
        <w:footnoteRef/>
      </w:r>
      <w:r>
        <w:rPr>
          <w:vertAlign w:val="superscript"/>
        </w:rPr>
        <w:t xml:space="preserve"> </w:t>
      </w:r>
      <w:r w:rsidRPr="00603442">
        <w:t>OFCCP promulgated regulations implementing these programs consistent with the Administrative P</w:t>
      </w:r>
      <w:r>
        <w:t>rocedure Act.  OFCCP’s regulations</w:t>
      </w:r>
      <w:r w:rsidRPr="00603442">
        <w:t xml:space="preserve"> are found at Title 41 of the Code of Federal Regulations (CFR) in Chapter 60.  </w:t>
      </w:r>
      <w:r w:rsidRPr="000B5462">
        <w:rPr>
          <w:i/>
        </w:rPr>
        <w:t>See</w:t>
      </w:r>
      <w:r>
        <w:rPr>
          <w:i/>
        </w:rPr>
        <w:t xml:space="preserve"> </w:t>
      </w:r>
      <w:r w:rsidRPr="00603442">
        <w:t xml:space="preserve">41 CFR 60, </w:t>
      </w:r>
      <w:hyperlink w:history="1" r:id="rId3">
        <w:r>
          <w:rPr>
            <w:rStyle w:val="Hyperlink"/>
          </w:rPr>
          <w:t>https://www.ecfr.gov/cgi-bin/text-idx?gp=&amp;SID=b686ff45080d69713c00bf18b651cc37&amp;mc=true&amp;tpl=/ecfrbrowse/Title41/41chapter60.tpl</w:t>
        </w:r>
      </w:hyperlink>
      <w:r>
        <w:t xml:space="preserve"> (last accessed </w:t>
      </w:r>
      <w:r w:rsidR="00086FD1">
        <w:t>September 3</w:t>
      </w:r>
      <w:r>
        <w:t>, 2020</w:t>
      </w:r>
      <w:r w:rsidRPr="00603442">
        <w:t>).</w:t>
      </w:r>
    </w:p>
  </w:footnote>
  <w:footnote w:id="7">
    <w:p w:rsidRPr="00EB0F65" w:rsidR="00E9460C" w:rsidP="008C4233" w:rsidRDefault="00E9460C" w14:paraId="1DFEC8A3" w14:textId="5731516C">
      <w:r w:rsidRPr="00E07A2B">
        <w:rPr>
          <w:rStyle w:val="FootnoteReference"/>
        </w:rPr>
        <w:footnoteRef/>
      </w:r>
      <w:r w:rsidRPr="00E07A2B">
        <w:rPr>
          <w:vertAlign w:val="superscript"/>
        </w:rPr>
        <w:t xml:space="preserve"> </w:t>
      </w:r>
      <w:r w:rsidRPr="00EB0F65">
        <w:t xml:space="preserve">Effective October 1, 2015, the coverage threshold under VEVRAA increased from $100,000 to $150,000, in accordance with the inflationary adjustment requirements in 41 U.S.C. 1908. </w:t>
      </w:r>
      <w:r>
        <w:t xml:space="preserve"> </w:t>
      </w:r>
      <w:r w:rsidRPr="00EB0F65">
        <w:rPr>
          <w:i/>
        </w:rPr>
        <w:t>See</w:t>
      </w:r>
      <w:r w:rsidRPr="00EB0F65">
        <w:t xml:space="preserve"> Federal Acquisition Regulation; Inflation Adjustment of Acquisition-Related Thresholds, 80 FR 38293 (July 2, 2015).  </w:t>
      </w:r>
    </w:p>
  </w:footnote>
  <w:footnote w:id="8">
    <w:p w:rsidRPr="00EA60AE" w:rsidR="00E9460C" w:rsidP="008C4233" w:rsidRDefault="00E9460C" w14:paraId="5263D0DB" w14:textId="77777777">
      <w:pPr>
        <w:pStyle w:val="FootnoteText"/>
      </w:pPr>
      <w:r w:rsidRPr="00EA60AE">
        <w:rPr>
          <w:rStyle w:val="FootnoteReference"/>
        </w:rPr>
        <w:footnoteRef/>
      </w:r>
      <w:r w:rsidRPr="00EA60AE">
        <w:rPr>
          <w:vertAlign w:val="superscript"/>
        </w:rPr>
        <w:t xml:space="preserve"> </w:t>
      </w:r>
      <w:r>
        <w:t xml:space="preserve">OFCCP covers the AAP recordkeeping burden for VEVRAA under OMB Control No. 1250-0004. </w:t>
      </w:r>
    </w:p>
  </w:footnote>
  <w:footnote w:id="9">
    <w:p w:rsidR="00E9460C" w:rsidRDefault="00E9460C" w14:paraId="5A5051E0" w14:textId="6F089F3A">
      <w:pPr>
        <w:pStyle w:val="FootnoteText"/>
      </w:pPr>
      <w:r>
        <w:rPr>
          <w:rStyle w:val="FootnoteReference"/>
        </w:rPr>
        <w:footnoteRef/>
      </w:r>
      <w:r>
        <w:t xml:space="preserve"> </w:t>
      </w:r>
      <w:r w:rsidRPr="000B5462">
        <w:rPr>
          <w:i/>
        </w:rPr>
        <w:t>See</w:t>
      </w:r>
      <w:r>
        <w:t xml:space="preserve"> 41 CFR 60-300.40(c) and (d).</w:t>
      </w:r>
    </w:p>
  </w:footnote>
  <w:footnote w:id="10">
    <w:p w:rsidRPr="00EB0F65" w:rsidR="00E9460C" w:rsidP="008C4233" w:rsidRDefault="00E9460C" w14:paraId="5661E2ED" w14:textId="1A0D928C">
      <w:r w:rsidRPr="00E07A2B">
        <w:rPr>
          <w:rStyle w:val="FootnoteReference"/>
        </w:rPr>
        <w:footnoteRef/>
      </w:r>
      <w:r>
        <w:rPr>
          <w:vertAlign w:val="superscript"/>
        </w:rPr>
        <w:t xml:space="preserve"> </w:t>
      </w:r>
      <w:r w:rsidRPr="00EB0F65">
        <w:t xml:space="preserve">Effective October 1, 2010, the coverage threshold under Section 503 increased from $10,000 to $15,000, in accordance with the inflationary adjustment requirements in 41 U.S.C. 1908.  </w:t>
      </w:r>
      <w:r w:rsidRPr="00EB0F65">
        <w:rPr>
          <w:i/>
        </w:rPr>
        <w:t>See</w:t>
      </w:r>
      <w:r w:rsidRPr="00EB0F65">
        <w:t xml:space="preserve"> Federal Acquisition Regulation; Inflation Adjustment of Acquisition-Related Thresholds, 75 FR 53129 (Aug. 30, 2010).</w:t>
      </w:r>
    </w:p>
  </w:footnote>
  <w:footnote w:id="11">
    <w:p w:rsidRPr="00EA60AE" w:rsidR="00E9460C" w:rsidP="008C4233" w:rsidRDefault="00E9460C" w14:paraId="044B952A" w14:textId="77777777">
      <w:pPr>
        <w:pStyle w:val="FootnoteText"/>
      </w:pPr>
      <w:r w:rsidRPr="00EA60AE">
        <w:rPr>
          <w:rStyle w:val="FootnoteReference"/>
        </w:rPr>
        <w:footnoteRef/>
      </w:r>
      <w:r>
        <w:t xml:space="preserve"> </w:t>
      </w:r>
      <w:r w:rsidRPr="00EA60AE">
        <w:t>OFCCP covers</w:t>
      </w:r>
      <w:r>
        <w:t xml:space="preserve"> the AAP recordkeeping requirements for Section 503 under OMB Control No. 1250-0005</w:t>
      </w:r>
      <w:r w:rsidRPr="00EA60AE">
        <w:t>.</w:t>
      </w:r>
    </w:p>
  </w:footnote>
  <w:footnote w:id="12">
    <w:p w:rsidR="00E9460C" w:rsidRDefault="00E9460C" w14:paraId="62A6116C" w14:textId="38D16404">
      <w:pPr>
        <w:pStyle w:val="FootnoteText"/>
      </w:pPr>
      <w:r>
        <w:rPr>
          <w:rStyle w:val="FootnoteReference"/>
        </w:rPr>
        <w:footnoteRef/>
      </w:r>
      <w:r>
        <w:t xml:space="preserve"> </w:t>
      </w:r>
      <w:r w:rsidRPr="000B5462">
        <w:rPr>
          <w:i/>
        </w:rPr>
        <w:t>See</w:t>
      </w:r>
      <w:r>
        <w:t xml:space="preserve"> 41 CFR 60-741.40(b)(3) and (c).</w:t>
      </w:r>
    </w:p>
  </w:footnote>
  <w:footnote w:id="13">
    <w:p w:rsidRPr="00E54B85" w:rsidR="00E9460C" w:rsidRDefault="00E9460C" w14:paraId="12C730EC" w14:textId="50A3399D">
      <w:pPr>
        <w:pStyle w:val="FootnoteText"/>
      </w:pPr>
      <w:r>
        <w:rPr>
          <w:rStyle w:val="FootnoteReference"/>
        </w:rPr>
        <w:footnoteRef/>
      </w:r>
      <w:r>
        <w:t xml:space="preserve"> Once a contractor becomes subject to OFCCP’s AAP requirements, it has 120 days to develop its AAP(s). </w:t>
      </w:r>
      <w:r>
        <w:rPr>
          <w:i/>
        </w:rPr>
        <w:t>See</w:t>
      </w:r>
      <w:r>
        <w:t xml:space="preserve"> 41 CFR 60-2.1(c), 41 CFR 60-300.40(b), and 41 CFR 60-741.40(b)(2).  The 90-day timeframe for annual certification begins after the contractor develops its AAP(s).</w:t>
      </w:r>
    </w:p>
  </w:footnote>
  <w:footnote w:id="14">
    <w:p w:rsidRPr="00603442" w:rsidR="00E9460C" w:rsidP="009C7BDF" w:rsidRDefault="00E9460C" w14:paraId="61A769B0" w14:textId="2D3954D4">
      <w:pPr>
        <w:pStyle w:val="FootnoteText"/>
      </w:pPr>
      <w:r w:rsidRPr="007B6855">
        <w:rPr>
          <w:rStyle w:val="FootnoteReference"/>
        </w:rPr>
        <w:footnoteRef/>
      </w:r>
      <w:r w:rsidRPr="00603442">
        <w:t xml:space="preserve"> Government Paperwork Elimination Act (Public Law 105-277, 1998), </w:t>
      </w:r>
      <w:hyperlink w:history="1" r:id="rId4">
        <w:r w:rsidRPr="00AE4E3E">
          <w:rPr>
            <w:rStyle w:val="Hyperlink"/>
          </w:rPr>
          <w:t>https://www.gpo.gov/fdsys/pkg/PLAW-105publ277/pdf/PLAW-105publ277.pdf</w:t>
        </w:r>
      </w:hyperlink>
      <w:r>
        <w:t xml:space="preserve"> (last accessed </w:t>
      </w:r>
      <w:r w:rsidR="00924CA3">
        <w:t>September 3</w:t>
      </w:r>
      <w:r>
        <w:t>, 2020</w:t>
      </w:r>
      <w:r w:rsidRPr="00603442">
        <w:t>).</w:t>
      </w:r>
    </w:p>
  </w:footnote>
  <w:footnote w:id="15">
    <w:p w:rsidR="00E9460C" w:rsidP="004068E6" w:rsidRDefault="00E9460C" w14:paraId="104C6902" w14:textId="6D1E772D">
      <w:pPr>
        <w:pStyle w:val="FootnoteText"/>
      </w:pPr>
      <w:r>
        <w:rPr>
          <w:rStyle w:val="FootnoteReference"/>
        </w:rPr>
        <w:footnoteRef/>
      </w:r>
      <w:r>
        <w:t xml:space="preserve"> The GSA question reads as follows: Please choose one of the following statements that applies to [Legal Business Name]. (FAR 52.222-25, FAR 52.212-3)  </w:t>
      </w:r>
    </w:p>
    <w:p w:rsidR="00E9460C" w:rsidP="005174C5" w:rsidRDefault="00E9460C" w14:paraId="27D233B6" w14:textId="33A7E72D">
      <w:pPr>
        <w:pStyle w:val="FootnoteText"/>
        <w:numPr>
          <w:ilvl w:val="0"/>
          <w:numId w:val="37"/>
        </w:numPr>
      </w:pPr>
      <w:r>
        <w:t>[Legal Business Name] has developed and has on file affirmative action programs required by Secretary of Labor regulations.</w:t>
      </w:r>
    </w:p>
    <w:p w:rsidR="00E9460C" w:rsidP="005174C5" w:rsidRDefault="00E9460C" w14:paraId="0E3AE38C" w14:textId="60C09CD1">
      <w:pPr>
        <w:pStyle w:val="FootnoteText"/>
        <w:numPr>
          <w:ilvl w:val="0"/>
          <w:numId w:val="37"/>
        </w:numPr>
      </w:pPr>
      <w:r>
        <w:t>[Legal Business Name] does not have developed and does not have on file affirmative action programs required by Secretary of Labor regulations.</w:t>
      </w:r>
    </w:p>
    <w:p w:rsidR="00E9460C" w:rsidP="00C51042" w:rsidRDefault="00E9460C" w14:paraId="79F191EC" w14:textId="00294AF9">
      <w:pPr>
        <w:pStyle w:val="FootnoteText"/>
        <w:numPr>
          <w:ilvl w:val="0"/>
          <w:numId w:val="37"/>
        </w:numPr>
      </w:pPr>
      <w:r>
        <w:t xml:space="preserve">[Legal Business Name] has not had previous contracts subject to the written affirmative action programs requirements of Secretary of Labor regulations. </w:t>
      </w:r>
    </w:p>
  </w:footnote>
  <w:footnote w:id="16">
    <w:p w:rsidR="00E9460C" w:rsidP="009C7BDF" w:rsidRDefault="00E9460C" w14:paraId="0DCEC71D" w14:textId="31BEA4E4">
      <w:pPr>
        <w:pStyle w:val="FootnoteText"/>
      </w:pPr>
      <w:r>
        <w:rPr>
          <w:rStyle w:val="FootnoteReference"/>
        </w:rPr>
        <w:footnoteRef/>
      </w:r>
      <w:r>
        <w:t xml:space="preserve"> GAO Report, at 15.</w:t>
      </w:r>
    </w:p>
  </w:footnote>
  <w:footnote w:id="17">
    <w:p w:rsidR="00E9460C" w:rsidP="00696DD5" w:rsidRDefault="00E9460C" w14:paraId="6D1AC405" w14:textId="77777777">
      <w:pPr>
        <w:pStyle w:val="FootnoteText"/>
      </w:pPr>
      <w:r>
        <w:rPr>
          <w:rStyle w:val="FootnoteReference"/>
        </w:rPr>
        <w:footnoteRef/>
      </w:r>
      <w:r>
        <w:t xml:space="preserve"> </w:t>
      </w:r>
      <w:r w:rsidRPr="00DD14B9">
        <w:rPr>
          <w:i/>
        </w:rPr>
        <w:t>Id.</w:t>
      </w:r>
    </w:p>
  </w:footnote>
  <w:footnote w:id="18">
    <w:p w:rsidR="00E9460C" w:rsidRDefault="00E9460C" w14:paraId="670D0439" w14:textId="6244773E">
      <w:pPr>
        <w:pStyle w:val="FootnoteText"/>
      </w:pPr>
      <w:r>
        <w:rPr>
          <w:rStyle w:val="FootnoteReference"/>
        </w:rPr>
        <w:footnoteRef/>
      </w:r>
      <w:r>
        <w:t xml:space="preserve"> OFCCP obtained the number of supply and service contractor establishments from the most recent EEO-1 Report data available, which is from 2018.  A contractor establishment can have as many users as it deems necessary, but this burden accounts</w:t>
      </w:r>
      <w:r w:rsidRPr="00357276" w:rsidR="00357276">
        <w:t xml:space="preserve"> </w:t>
      </w:r>
      <w:r w:rsidR="00357276">
        <w:t>only</w:t>
      </w:r>
      <w:r>
        <w:t xml:space="preserve"> for a single required user for each establishment. </w:t>
      </w:r>
    </w:p>
  </w:footnote>
  <w:footnote w:id="19">
    <w:p w:rsidR="00E9460C" w:rsidRDefault="00E9460C" w14:paraId="623B46A9" w14:textId="779F6F05">
      <w:pPr>
        <w:pStyle w:val="FootnoteText"/>
      </w:pPr>
      <w:r>
        <w:rPr>
          <w:rStyle w:val="FootnoteReference"/>
        </w:rPr>
        <w:footnoteRef/>
      </w:r>
      <w:r>
        <w:t xml:space="preserve"> </w:t>
      </w:r>
      <w:r w:rsidR="00357276">
        <w:t>One</w:t>
      </w:r>
      <w:r>
        <w:t xml:space="preserve"> percent of 116,898 = 1,169 new contractor establishments.</w:t>
      </w:r>
    </w:p>
  </w:footnote>
  <w:footnote w:id="20">
    <w:p w:rsidR="00E9460C" w:rsidRDefault="00E9460C" w14:paraId="3A59376A" w14:textId="253955D8">
      <w:pPr>
        <w:pStyle w:val="FootnoteText"/>
      </w:pPr>
      <w:r>
        <w:rPr>
          <w:rStyle w:val="FootnoteReference"/>
        </w:rPr>
        <w:footnoteRef/>
      </w:r>
      <w:r>
        <w:t xml:space="preserve"> OFCCP estimates that it will schedule 2,500 compliance reviews, 1,000 compliance checks, and 1,500 focused reviews in the reauthorization of the Supply and Service Scheduling Letter (OMB Control No. 1250-0003), which received approval in April 2020. </w:t>
      </w:r>
    </w:p>
  </w:footnote>
  <w:footnote w:id="21">
    <w:p w:rsidR="00E9460C" w:rsidRDefault="00E9460C" w14:paraId="5F8FED1D" w14:textId="198B231B">
      <w:pPr>
        <w:pStyle w:val="FootnoteText"/>
      </w:pPr>
      <w:r>
        <w:rPr>
          <w:rStyle w:val="FootnoteReference"/>
        </w:rPr>
        <w:footnoteRef/>
      </w:r>
      <w:r>
        <w:t xml:space="preserve"> Bureau of Labor Statistics, Occupational Employment Statistics, Occupational Employment and Wages, May 2019, </w:t>
      </w:r>
      <w:hyperlink w:history="1" r:id="rId5">
        <w:r w:rsidRPr="00704A87">
          <w:rPr>
            <w:rStyle w:val="Hyperlink"/>
          </w:rPr>
          <w:t>https://www.bls.gov/oes/current/oes_nat.htm</w:t>
        </w:r>
      </w:hyperlink>
      <w:r>
        <w:t xml:space="preserve"> (last accessed </w:t>
      </w:r>
      <w:r w:rsidR="00924CA3">
        <w:t>September 3</w:t>
      </w:r>
      <w:r>
        <w:t xml:space="preserve">, 2020). </w:t>
      </w:r>
      <w:r w:rsidR="00357276">
        <w:t xml:space="preserve"> </w:t>
      </w:r>
      <w:r>
        <w:t xml:space="preserve">$45.94 per hour for Management Analysts and $62.29 per hour for Human Resource Managers.  The calculation uses an 80/20 split between Management Analysts and Human Resource Managers, which equals $49.21. </w:t>
      </w:r>
      <w:r w:rsidR="005178F2">
        <w:t xml:space="preserve"> </w:t>
      </w:r>
      <w:r>
        <w:t xml:space="preserve">BLS Employer Costs for Employee Compensation, </w:t>
      </w:r>
      <w:hyperlink w:history="1" r:id="rId6">
        <w:r w:rsidRPr="00704A87">
          <w:rPr>
            <w:rStyle w:val="Hyperlink"/>
          </w:rPr>
          <w:t>https://www.bls.gov/news.release/ecec.toc.htm</w:t>
        </w:r>
      </w:hyperlink>
      <w:r>
        <w:t xml:space="preserve"> (last accessed </w:t>
      </w:r>
      <w:r w:rsidR="00924CA3">
        <w:t>September 3</w:t>
      </w:r>
      <w:r>
        <w:t xml:space="preserve">, 2020).  Fringe benefit and overhead costs are 46 percent of wages. </w:t>
      </w:r>
      <w:r w:rsidR="00A77AFE">
        <w:t xml:space="preserve"> </w:t>
      </w:r>
      <w:r>
        <w:t xml:space="preserve">$49.21 x 1.46 = $71.85.  </w:t>
      </w:r>
    </w:p>
  </w:footnote>
  <w:footnote w:id="22">
    <w:p w:rsidRPr="00880CDA" w:rsidR="00E9460C" w:rsidRDefault="00E9460C" w14:paraId="336FAD6F" w14:textId="66002F78">
      <w:pPr>
        <w:pStyle w:val="FootnoteText"/>
        <w:rPr>
          <w:i/>
        </w:rPr>
      </w:pPr>
      <w:r>
        <w:rPr>
          <w:rStyle w:val="FootnoteReference"/>
        </w:rPr>
        <w:footnoteRef/>
      </w:r>
      <w:r>
        <w:t xml:space="preserve"> </w:t>
      </w:r>
      <w:r>
        <w:rPr>
          <w:i/>
        </w:rPr>
        <w:t>Id.</w:t>
      </w:r>
    </w:p>
  </w:footnote>
  <w:footnote w:id="23">
    <w:p w:rsidR="001B0D5E" w:rsidP="00A92C9A" w:rsidRDefault="001B0D5E" w14:paraId="7651E0D4" w14:textId="4A2F28FD">
      <w:pPr>
        <w:pStyle w:val="FootnoteText"/>
      </w:pPr>
      <w:r w:rsidRPr="00A92C9A">
        <w:rPr>
          <w:rStyle w:val="FootnoteReference"/>
          <w:rFonts w:eastAsia="Times New Roman"/>
        </w:rPr>
        <w:footnoteRef/>
      </w:r>
      <w:r w:rsidRPr="00A92C9A">
        <w:rPr>
          <w:rFonts w:eastAsia="Times New Roman"/>
        </w:rPr>
        <w:t xml:space="preserve"> </w:t>
      </w:r>
      <w:r>
        <w:t>($853,019 + $400,000 + $400,000) / 3 = $551,006</w:t>
      </w:r>
      <w:r w:rsidR="00A77AF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60C" w:rsidP="00D66E4B" w:rsidRDefault="00E9460C" w14:paraId="77F0C7A6" w14:textId="77777777">
    <w:pPr>
      <w:pStyle w:val="Header"/>
    </w:pPr>
    <w:r>
      <w:t>DOL OFCCP – Affirmative Action Program Verification Interface</w:t>
    </w:r>
  </w:p>
  <w:p w:rsidR="00E9460C" w:rsidP="00D66E4B" w:rsidRDefault="00E9460C" w14:paraId="6B281793" w14:textId="2B79C4D1">
    <w:pPr>
      <w:pStyle w:val="Header"/>
    </w:pPr>
    <w:r>
      <w:t>OMB Control No. 1250-New</w:t>
    </w:r>
  </w:p>
  <w:p w:rsidR="00E9460C" w:rsidP="00CC01C6" w:rsidRDefault="00086FD1" w14:paraId="7C1D4E5F" w14:textId="72E9F05E">
    <w:pPr>
      <w:pStyle w:val="Header"/>
      <w:tabs>
        <w:tab w:val="clear" w:pos="4320"/>
        <w:tab w:val="clear" w:pos="8640"/>
        <w:tab w:val="left" w:pos="1320"/>
      </w:tabs>
    </w:pPr>
    <w:r>
      <w:t xml:space="preserve">September </w:t>
    </w:r>
    <w:r w:rsidR="00E9460C">
      <w:t>2020</w:t>
    </w:r>
    <w:r w:rsidR="00E9460C">
      <w:tab/>
    </w:r>
  </w:p>
  <w:p w:rsidR="00E9460C" w:rsidRDefault="00E9460C" w14:paraId="0B5488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60C" w:rsidP="00CC01C6" w:rsidRDefault="00E9460C" w14:paraId="0F801B1F" w14:textId="77777777">
    <w:pPr>
      <w:pStyle w:val="Header"/>
    </w:pPr>
    <w:r>
      <w:t>DOL OFCCP – Affirmative Action Program Verification Interface</w:t>
    </w:r>
  </w:p>
  <w:p w:rsidR="00E9460C" w:rsidP="00CC01C6" w:rsidRDefault="00E9460C" w14:paraId="409D2A36" w14:textId="77777777">
    <w:pPr>
      <w:pStyle w:val="Header"/>
    </w:pPr>
    <w:r>
      <w:t>OMB Control No. 1250-New</w:t>
    </w:r>
  </w:p>
  <w:p w:rsidR="00E9460C" w:rsidP="00CC01C6" w:rsidRDefault="00572FF0" w14:paraId="68692B10" w14:textId="13B74A1A">
    <w:pPr>
      <w:pStyle w:val="Header"/>
      <w:tabs>
        <w:tab w:val="clear" w:pos="4320"/>
        <w:tab w:val="clear" w:pos="8640"/>
        <w:tab w:val="left" w:pos="1320"/>
      </w:tabs>
    </w:pPr>
    <w:r>
      <w:t xml:space="preserve">September </w:t>
    </w:r>
    <w:r w:rsidR="00E9460C">
      <w:t>2020</w:t>
    </w:r>
    <w:r w:rsidR="00E9460C">
      <w:tab/>
    </w:r>
  </w:p>
  <w:p w:rsidR="00E9460C" w:rsidRDefault="00E9460C" w14:paraId="669F47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888"/>
    <w:multiLevelType w:val="hybridMultilevel"/>
    <w:tmpl w:val="E54AEB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BB2515"/>
    <w:multiLevelType w:val="hybridMultilevel"/>
    <w:tmpl w:val="BA1E909A"/>
    <w:lvl w:ilvl="0" w:tplc="64B010C0">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6717FD"/>
    <w:multiLevelType w:val="hybridMultilevel"/>
    <w:tmpl w:val="E2CC46CE"/>
    <w:lvl w:ilvl="0" w:tplc="64B010C0">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0C6C7C"/>
    <w:multiLevelType w:val="hybridMultilevel"/>
    <w:tmpl w:val="37866FA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677F2D"/>
    <w:multiLevelType w:val="hybridMultilevel"/>
    <w:tmpl w:val="73BA067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13B398D"/>
    <w:multiLevelType w:val="hybridMultilevel"/>
    <w:tmpl w:val="9FE2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7BC"/>
    <w:multiLevelType w:val="hybridMultilevel"/>
    <w:tmpl w:val="84CE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B21D5"/>
    <w:multiLevelType w:val="hybridMultilevel"/>
    <w:tmpl w:val="333CEE88"/>
    <w:lvl w:ilvl="0">
      <w:start w:val="1"/>
      <w:numFmt w:val="upperLetter"/>
      <w:lvlText w:val="%1."/>
      <w:legacy w:legacy="1" w:legacySpace="0" w:legacyIndent="360"/>
      <w:lvlJc w:val="left"/>
      <w:pPr>
        <w:ind w:left="360" w:hanging="360"/>
      </w:pPr>
    </w:lvl>
  </w:abstractNum>
  <w:abstractNum w:abstractNumId="8" w15:restartNumberingAfterBreak="0">
    <w:nsid w:val="1BFE227B"/>
    <w:multiLevelType w:val="hybridMultilevel"/>
    <w:tmpl w:val="E50454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24F7B5C"/>
    <w:multiLevelType w:val="hybridMultilevel"/>
    <w:tmpl w:val="7A56A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600DCD"/>
    <w:multiLevelType w:val="hybridMultilevel"/>
    <w:tmpl w:val="623C0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E1368D"/>
    <w:multiLevelType w:val="hybridMultilevel"/>
    <w:tmpl w:val="F5E27DF4"/>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12" w15:restartNumberingAfterBreak="0">
    <w:nsid w:val="2B7312CA"/>
    <w:multiLevelType w:val="hybridMultilevel"/>
    <w:tmpl w:val="F6DE6D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025CD7"/>
    <w:multiLevelType w:val="hybridMultilevel"/>
    <w:tmpl w:val="E83E35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B032C8B"/>
    <w:multiLevelType w:val="hybridMultilevel"/>
    <w:tmpl w:val="24427E88"/>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5" w15:restartNumberingAfterBreak="0">
    <w:nsid w:val="3D28713E"/>
    <w:multiLevelType w:val="hybridMultilevel"/>
    <w:tmpl w:val="5A7247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3B6CF5"/>
    <w:multiLevelType w:val="hybridMultilevel"/>
    <w:tmpl w:val="792AE0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450AC6"/>
    <w:multiLevelType w:val="hybridMultilevel"/>
    <w:tmpl w:val="DBDC0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2B67F26"/>
    <w:multiLevelType w:val="hybridMultilevel"/>
    <w:tmpl w:val="7594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A65EF"/>
    <w:multiLevelType w:val="hybridMultilevel"/>
    <w:tmpl w:val="A10E1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C967FC"/>
    <w:multiLevelType w:val="multilevel"/>
    <w:tmpl w:val="E9089D0A"/>
    <w:lvl w:ilvl="0" w:tplc="04090001">
      <w:start w:val="1"/>
      <w:numFmt w:val="bullet"/>
      <w:lvlText w:val=""/>
      <w:lvlJc w:val="left"/>
      <w:pPr>
        <w:tabs>
          <w:tab w:val="num" w:pos="1710"/>
        </w:tabs>
        <w:ind w:left="1710" w:hanging="360"/>
      </w:pPr>
      <w:rPr>
        <w:rFonts w:hint="default" w:ascii="Symbol" w:hAnsi="Symbol"/>
      </w:rPr>
    </w:lvl>
    <w:lvl w:ilvl="1" w:tplc="04090003" w:tentative="1">
      <w:start w:val="1"/>
      <w:numFmt w:val="bullet"/>
      <w:lvlText w:val="o"/>
      <w:lvlJc w:val="left"/>
      <w:pPr>
        <w:tabs>
          <w:tab w:val="num" w:pos="2430"/>
        </w:tabs>
        <w:ind w:left="2430" w:hanging="360"/>
      </w:pPr>
      <w:rPr>
        <w:rFonts w:hint="default" w:ascii="Courier New" w:hAnsi="Courier New" w:cs="Courier New"/>
      </w:rPr>
    </w:lvl>
    <w:lvl w:ilvl="2" w:tplc="04090005" w:tentative="1">
      <w:start w:val="1"/>
      <w:numFmt w:val="bullet"/>
      <w:lvlText w:val=""/>
      <w:lvlJc w:val="left"/>
      <w:pPr>
        <w:tabs>
          <w:tab w:val="num" w:pos="3150"/>
        </w:tabs>
        <w:ind w:left="3150" w:hanging="360"/>
      </w:pPr>
      <w:rPr>
        <w:rFonts w:hint="default" w:ascii="Wingdings" w:hAnsi="Wingdings"/>
      </w:rPr>
    </w:lvl>
    <w:lvl w:ilvl="3" w:tplc="04090001" w:tentative="1">
      <w:start w:val="1"/>
      <w:numFmt w:val="bullet"/>
      <w:lvlText w:val=""/>
      <w:lvlJc w:val="left"/>
      <w:pPr>
        <w:tabs>
          <w:tab w:val="num" w:pos="3870"/>
        </w:tabs>
        <w:ind w:left="3870" w:hanging="360"/>
      </w:pPr>
      <w:rPr>
        <w:rFonts w:hint="default" w:ascii="Symbol" w:hAnsi="Symbol"/>
      </w:rPr>
    </w:lvl>
    <w:lvl w:ilvl="4" w:tplc="04090003" w:tentative="1">
      <w:start w:val="1"/>
      <w:numFmt w:val="bullet"/>
      <w:lvlText w:val="o"/>
      <w:lvlJc w:val="left"/>
      <w:pPr>
        <w:tabs>
          <w:tab w:val="num" w:pos="4590"/>
        </w:tabs>
        <w:ind w:left="4590" w:hanging="360"/>
      </w:pPr>
      <w:rPr>
        <w:rFonts w:hint="default" w:ascii="Courier New" w:hAnsi="Courier New" w:cs="Courier New"/>
      </w:rPr>
    </w:lvl>
    <w:lvl w:ilvl="5" w:tplc="04090005" w:tentative="1">
      <w:start w:val="1"/>
      <w:numFmt w:val="bullet"/>
      <w:lvlText w:val=""/>
      <w:lvlJc w:val="left"/>
      <w:pPr>
        <w:tabs>
          <w:tab w:val="num" w:pos="5310"/>
        </w:tabs>
        <w:ind w:left="5310" w:hanging="360"/>
      </w:pPr>
      <w:rPr>
        <w:rFonts w:hint="default" w:ascii="Wingdings" w:hAnsi="Wingdings"/>
      </w:rPr>
    </w:lvl>
    <w:lvl w:ilvl="6" w:tplc="04090001" w:tentative="1">
      <w:start w:val="1"/>
      <w:numFmt w:val="bullet"/>
      <w:lvlText w:val=""/>
      <w:lvlJc w:val="left"/>
      <w:pPr>
        <w:tabs>
          <w:tab w:val="num" w:pos="6030"/>
        </w:tabs>
        <w:ind w:left="6030" w:hanging="360"/>
      </w:pPr>
      <w:rPr>
        <w:rFonts w:hint="default" w:ascii="Symbol" w:hAnsi="Symbol"/>
      </w:rPr>
    </w:lvl>
    <w:lvl w:ilvl="7" w:tplc="04090003" w:tentative="1">
      <w:start w:val="1"/>
      <w:numFmt w:val="bullet"/>
      <w:lvlText w:val="o"/>
      <w:lvlJc w:val="left"/>
      <w:pPr>
        <w:tabs>
          <w:tab w:val="num" w:pos="6750"/>
        </w:tabs>
        <w:ind w:left="6750" w:hanging="360"/>
      </w:pPr>
      <w:rPr>
        <w:rFonts w:hint="default" w:ascii="Courier New" w:hAnsi="Courier New" w:cs="Courier New"/>
      </w:rPr>
    </w:lvl>
    <w:lvl w:ilvl="8" w:tplc="04090005" w:tentative="1">
      <w:start w:val="1"/>
      <w:numFmt w:val="bullet"/>
      <w:lvlText w:val=""/>
      <w:lvlJc w:val="left"/>
      <w:pPr>
        <w:tabs>
          <w:tab w:val="num" w:pos="7470"/>
        </w:tabs>
        <w:ind w:left="7470" w:hanging="360"/>
      </w:pPr>
      <w:rPr>
        <w:rFonts w:hint="default" w:ascii="Wingdings" w:hAnsi="Wingdings"/>
      </w:rPr>
    </w:lvl>
  </w:abstractNum>
  <w:abstractNum w:abstractNumId="21" w15:restartNumberingAfterBreak="0">
    <w:nsid w:val="4B071D3E"/>
    <w:multiLevelType w:val="multilevel"/>
    <w:tmpl w:val="28584420"/>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22" w15:restartNumberingAfterBreak="0">
    <w:nsid w:val="4CE774E1"/>
    <w:multiLevelType w:val="hybridMultilevel"/>
    <w:tmpl w:val="5270F3FE"/>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23" w15:restartNumberingAfterBreak="0">
    <w:nsid w:val="52717791"/>
    <w:multiLevelType w:val="hybridMultilevel"/>
    <w:tmpl w:val="84EE3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2DE628D"/>
    <w:multiLevelType w:val="hybridMultilevel"/>
    <w:tmpl w:val="FBAEDDB6"/>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25" w15:restartNumberingAfterBreak="0">
    <w:nsid w:val="54324C28"/>
    <w:multiLevelType w:val="hybridMultilevel"/>
    <w:tmpl w:val="AE268CC6"/>
    <w:lvl w:ilvl="0" w:tplc="4EEAE24A">
      <w:start w:val="1"/>
      <w:numFmt w:val="decimal"/>
      <w:lvlText w:val="%1."/>
      <w:lvlJc w:val="left"/>
      <w:pPr>
        <w:ind w:left="1800" w:hanging="360"/>
      </w:pPr>
      <w:rPr>
        <w:rFonts w:hint="default"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581D1FE2"/>
    <w:multiLevelType w:val="hybridMultilevel"/>
    <w:tmpl w:val="D5ACE4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88F3841"/>
    <w:multiLevelType w:val="hybridMultilevel"/>
    <w:tmpl w:val="9EC8D05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58D47A7F"/>
    <w:multiLevelType w:val="hybridMultilevel"/>
    <w:tmpl w:val="33DAAE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D526A0C"/>
    <w:multiLevelType w:val="hybridMultilevel"/>
    <w:tmpl w:val="4566E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D572C42"/>
    <w:multiLevelType w:val="hybridMultilevel"/>
    <w:tmpl w:val="38C8B1C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DF54299"/>
    <w:multiLevelType w:val="multilevel"/>
    <w:tmpl w:val="6032D2EA"/>
    <w:lvl w:ilvl="0" w:tplc="64B010C0">
      <w:numFmt w:val="bullet"/>
      <w:lvlText w:val="•"/>
      <w:lvlJc w:val="left"/>
      <w:pPr>
        <w:tabs>
          <w:tab w:val="num" w:pos="1710"/>
        </w:tabs>
        <w:ind w:left="1710" w:hanging="360"/>
      </w:pPr>
      <w:rPr>
        <w:rFonts w:hint="default" w:ascii="Times New Roman" w:hAnsi="Times New Roman" w:eastAsia="Times New Roman" w:cs="Times New Roman"/>
      </w:rPr>
    </w:lvl>
    <w:lvl w:ilvl="1" w:tplc="04090003" w:tentative="1">
      <w:start w:val="1"/>
      <w:numFmt w:val="bullet"/>
      <w:lvlText w:val="o"/>
      <w:lvlJc w:val="left"/>
      <w:pPr>
        <w:tabs>
          <w:tab w:val="num" w:pos="2430"/>
        </w:tabs>
        <w:ind w:left="2430" w:hanging="360"/>
      </w:pPr>
      <w:rPr>
        <w:rFonts w:hint="default" w:ascii="Courier New" w:hAnsi="Courier New" w:cs="Courier New"/>
      </w:rPr>
    </w:lvl>
    <w:lvl w:ilvl="2" w:tplc="04090005" w:tentative="1">
      <w:start w:val="1"/>
      <w:numFmt w:val="bullet"/>
      <w:lvlText w:val=""/>
      <w:lvlJc w:val="left"/>
      <w:pPr>
        <w:tabs>
          <w:tab w:val="num" w:pos="3150"/>
        </w:tabs>
        <w:ind w:left="3150" w:hanging="360"/>
      </w:pPr>
      <w:rPr>
        <w:rFonts w:hint="default" w:ascii="Wingdings" w:hAnsi="Wingdings"/>
      </w:rPr>
    </w:lvl>
    <w:lvl w:ilvl="3" w:tplc="04090001" w:tentative="1">
      <w:start w:val="1"/>
      <w:numFmt w:val="bullet"/>
      <w:lvlText w:val=""/>
      <w:lvlJc w:val="left"/>
      <w:pPr>
        <w:tabs>
          <w:tab w:val="num" w:pos="3870"/>
        </w:tabs>
        <w:ind w:left="3870" w:hanging="360"/>
      </w:pPr>
      <w:rPr>
        <w:rFonts w:hint="default" w:ascii="Symbol" w:hAnsi="Symbol"/>
      </w:rPr>
    </w:lvl>
    <w:lvl w:ilvl="4" w:tplc="04090003" w:tentative="1">
      <w:start w:val="1"/>
      <w:numFmt w:val="bullet"/>
      <w:lvlText w:val="o"/>
      <w:lvlJc w:val="left"/>
      <w:pPr>
        <w:tabs>
          <w:tab w:val="num" w:pos="4590"/>
        </w:tabs>
        <w:ind w:left="4590" w:hanging="360"/>
      </w:pPr>
      <w:rPr>
        <w:rFonts w:hint="default" w:ascii="Courier New" w:hAnsi="Courier New" w:cs="Courier New"/>
      </w:rPr>
    </w:lvl>
    <w:lvl w:ilvl="5" w:tplc="04090005" w:tentative="1">
      <w:start w:val="1"/>
      <w:numFmt w:val="bullet"/>
      <w:lvlText w:val=""/>
      <w:lvlJc w:val="left"/>
      <w:pPr>
        <w:tabs>
          <w:tab w:val="num" w:pos="5310"/>
        </w:tabs>
        <w:ind w:left="5310" w:hanging="360"/>
      </w:pPr>
      <w:rPr>
        <w:rFonts w:hint="default" w:ascii="Wingdings" w:hAnsi="Wingdings"/>
      </w:rPr>
    </w:lvl>
    <w:lvl w:ilvl="6" w:tplc="04090001" w:tentative="1">
      <w:start w:val="1"/>
      <w:numFmt w:val="bullet"/>
      <w:lvlText w:val=""/>
      <w:lvlJc w:val="left"/>
      <w:pPr>
        <w:tabs>
          <w:tab w:val="num" w:pos="6030"/>
        </w:tabs>
        <w:ind w:left="6030" w:hanging="360"/>
      </w:pPr>
      <w:rPr>
        <w:rFonts w:hint="default" w:ascii="Symbol" w:hAnsi="Symbol"/>
      </w:rPr>
    </w:lvl>
    <w:lvl w:ilvl="7" w:tplc="04090003" w:tentative="1">
      <w:start w:val="1"/>
      <w:numFmt w:val="bullet"/>
      <w:lvlText w:val="o"/>
      <w:lvlJc w:val="left"/>
      <w:pPr>
        <w:tabs>
          <w:tab w:val="num" w:pos="6750"/>
        </w:tabs>
        <w:ind w:left="6750" w:hanging="360"/>
      </w:pPr>
      <w:rPr>
        <w:rFonts w:hint="default" w:ascii="Courier New" w:hAnsi="Courier New" w:cs="Courier New"/>
      </w:rPr>
    </w:lvl>
    <w:lvl w:ilvl="8" w:tplc="04090005" w:tentative="1">
      <w:start w:val="1"/>
      <w:numFmt w:val="bullet"/>
      <w:lvlText w:val=""/>
      <w:lvlJc w:val="left"/>
      <w:pPr>
        <w:tabs>
          <w:tab w:val="num" w:pos="7470"/>
        </w:tabs>
        <w:ind w:left="7470" w:hanging="360"/>
      </w:pPr>
      <w:rPr>
        <w:rFonts w:hint="default" w:ascii="Wingdings" w:hAnsi="Wingdings"/>
      </w:rPr>
    </w:lvl>
  </w:abstractNum>
  <w:abstractNum w:abstractNumId="32" w15:restartNumberingAfterBreak="0">
    <w:nsid w:val="6D691D66"/>
    <w:multiLevelType w:val="multilevel"/>
    <w:tmpl w:val="17465CE8"/>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33" w15:restartNumberingAfterBreak="0">
    <w:nsid w:val="6EA46082"/>
    <w:multiLevelType w:val="multilevel"/>
    <w:tmpl w:val="648E287C"/>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34" w15:restartNumberingAfterBreak="0">
    <w:nsid w:val="735C5FE1"/>
    <w:multiLevelType w:val="multilevel"/>
    <w:tmpl w:val="2CF41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B454A48"/>
    <w:multiLevelType w:val="multilevel"/>
    <w:tmpl w:val="6F20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E0D7B"/>
    <w:multiLevelType w:val="hybridMultilevel"/>
    <w:tmpl w:val="B312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0"/>
  </w:num>
  <w:num w:numId="3">
    <w:abstractNumId w:val="3"/>
  </w:num>
  <w:num w:numId="4">
    <w:abstractNumId w:val="9"/>
  </w:num>
  <w:num w:numId="5">
    <w:abstractNumId w:val="32"/>
  </w:num>
  <w:num w:numId="6">
    <w:abstractNumId w:val="25"/>
  </w:num>
  <w:num w:numId="7">
    <w:abstractNumId w:val="28"/>
  </w:num>
  <w:num w:numId="8">
    <w:abstractNumId w:val="5"/>
  </w:num>
  <w:num w:numId="9">
    <w:abstractNumId w:val="12"/>
  </w:num>
  <w:num w:numId="10">
    <w:abstractNumId w:val="6"/>
  </w:num>
  <w:num w:numId="11">
    <w:abstractNumId w:val="18"/>
  </w:num>
  <w:num w:numId="12">
    <w:abstractNumId w:val="29"/>
  </w:num>
  <w:num w:numId="13">
    <w:abstractNumId w:val="31"/>
  </w:num>
  <w:num w:numId="14">
    <w:abstractNumId w:val="23"/>
  </w:num>
  <w:num w:numId="15">
    <w:abstractNumId w:val="16"/>
  </w:num>
  <w:num w:numId="16">
    <w:abstractNumId w:val="13"/>
  </w:num>
  <w:num w:numId="17">
    <w:abstractNumId w:val="0"/>
  </w:num>
  <w:num w:numId="18">
    <w:abstractNumId w:val="14"/>
  </w:num>
  <w:num w:numId="19">
    <w:abstractNumId w:val="34"/>
  </w:num>
  <w:num w:numId="20">
    <w:abstractNumId w:val="36"/>
  </w:num>
  <w:num w:numId="21">
    <w:abstractNumId w:val="10"/>
  </w:num>
  <w:num w:numId="22">
    <w:abstractNumId w:val="1"/>
  </w:num>
  <w:num w:numId="23">
    <w:abstractNumId w:val="2"/>
  </w:num>
  <w:num w:numId="24">
    <w:abstractNumId w:val="20"/>
  </w:num>
  <w:num w:numId="25">
    <w:abstractNumId w:val="17"/>
  </w:num>
  <w:num w:numId="26">
    <w:abstractNumId w:val="26"/>
  </w:num>
  <w:num w:numId="27">
    <w:abstractNumId w:val="27"/>
  </w:num>
  <w:num w:numId="28">
    <w:abstractNumId w:val="19"/>
  </w:num>
  <w:num w:numId="29">
    <w:abstractNumId w:val="15"/>
  </w:num>
  <w:num w:numId="30">
    <w:abstractNumId w:val="35"/>
  </w:num>
  <w:num w:numId="31">
    <w:abstractNumId w:val="11"/>
  </w:num>
  <w:num w:numId="32">
    <w:abstractNumId w:val="22"/>
  </w:num>
  <w:num w:numId="33">
    <w:abstractNumId w:val="33"/>
  </w:num>
  <w:num w:numId="34">
    <w:abstractNumId w:val="21"/>
  </w:num>
  <w:num w:numId="35">
    <w:abstractNumId w:val="24"/>
  </w:num>
  <w:num w:numId="36">
    <w:abstractNumId w:val="4"/>
  </w:num>
  <w:num w:numId="3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removePersonalInformation/>
  <w:removeDateAndTime/>
  <w:proofState w:spelling="clean" w:grammar="dirty"/>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23"/>
    <w:rsid w:val="00005DFD"/>
    <w:rsid w:val="00006136"/>
    <w:rsid w:val="0000752E"/>
    <w:rsid w:val="000075D8"/>
    <w:rsid w:val="0001186D"/>
    <w:rsid w:val="00013A03"/>
    <w:rsid w:val="00013A6A"/>
    <w:rsid w:val="00013A7C"/>
    <w:rsid w:val="00013AFC"/>
    <w:rsid w:val="00016350"/>
    <w:rsid w:val="00020FFD"/>
    <w:rsid w:val="0002288F"/>
    <w:rsid w:val="00025043"/>
    <w:rsid w:val="000269F5"/>
    <w:rsid w:val="000275D3"/>
    <w:rsid w:val="00030E45"/>
    <w:rsid w:val="00030FF8"/>
    <w:rsid w:val="00032165"/>
    <w:rsid w:val="0003356F"/>
    <w:rsid w:val="000354C4"/>
    <w:rsid w:val="00050F59"/>
    <w:rsid w:val="000556BC"/>
    <w:rsid w:val="000565F9"/>
    <w:rsid w:val="00073B47"/>
    <w:rsid w:val="000750E4"/>
    <w:rsid w:val="000762A8"/>
    <w:rsid w:val="00083B33"/>
    <w:rsid w:val="00086FD1"/>
    <w:rsid w:val="000907EF"/>
    <w:rsid w:val="00094377"/>
    <w:rsid w:val="00094902"/>
    <w:rsid w:val="00095A4C"/>
    <w:rsid w:val="0009662A"/>
    <w:rsid w:val="000A0BA5"/>
    <w:rsid w:val="000B4364"/>
    <w:rsid w:val="000B5462"/>
    <w:rsid w:val="000C5843"/>
    <w:rsid w:val="000C69FD"/>
    <w:rsid w:val="000D010C"/>
    <w:rsid w:val="000D3CA2"/>
    <w:rsid w:val="000D40B1"/>
    <w:rsid w:val="000D6AC4"/>
    <w:rsid w:val="000D7914"/>
    <w:rsid w:val="000E2A13"/>
    <w:rsid w:val="000E3701"/>
    <w:rsid w:val="000E7815"/>
    <w:rsid w:val="000F5730"/>
    <w:rsid w:val="00106462"/>
    <w:rsid w:val="001139C5"/>
    <w:rsid w:val="00120324"/>
    <w:rsid w:val="001238E6"/>
    <w:rsid w:val="0012443F"/>
    <w:rsid w:val="001265D9"/>
    <w:rsid w:val="00137552"/>
    <w:rsid w:val="00142AA4"/>
    <w:rsid w:val="00142F79"/>
    <w:rsid w:val="00143689"/>
    <w:rsid w:val="001457B9"/>
    <w:rsid w:val="00146BD9"/>
    <w:rsid w:val="001525CD"/>
    <w:rsid w:val="00156EE2"/>
    <w:rsid w:val="001574B6"/>
    <w:rsid w:val="0016691B"/>
    <w:rsid w:val="00170BE5"/>
    <w:rsid w:val="001710FC"/>
    <w:rsid w:val="0017320C"/>
    <w:rsid w:val="00174E8E"/>
    <w:rsid w:val="001812E7"/>
    <w:rsid w:val="00181708"/>
    <w:rsid w:val="001913C9"/>
    <w:rsid w:val="001927EB"/>
    <w:rsid w:val="00195A3E"/>
    <w:rsid w:val="00196560"/>
    <w:rsid w:val="001B0D5E"/>
    <w:rsid w:val="001B1105"/>
    <w:rsid w:val="001C2208"/>
    <w:rsid w:val="001C2E9D"/>
    <w:rsid w:val="001C2FE1"/>
    <w:rsid w:val="001C62BC"/>
    <w:rsid w:val="001C62E6"/>
    <w:rsid w:val="001D5391"/>
    <w:rsid w:val="001D5BF8"/>
    <w:rsid w:val="001D71EA"/>
    <w:rsid w:val="001E6FD8"/>
    <w:rsid w:val="001F201A"/>
    <w:rsid w:val="001F64A5"/>
    <w:rsid w:val="00202330"/>
    <w:rsid w:val="00203345"/>
    <w:rsid w:val="002036A5"/>
    <w:rsid w:val="00207C2A"/>
    <w:rsid w:val="00213440"/>
    <w:rsid w:val="00213DF1"/>
    <w:rsid w:val="00214A22"/>
    <w:rsid w:val="002221F2"/>
    <w:rsid w:val="00222AC0"/>
    <w:rsid w:val="0022346E"/>
    <w:rsid w:val="00236AFF"/>
    <w:rsid w:val="00240912"/>
    <w:rsid w:val="00241940"/>
    <w:rsid w:val="00241A19"/>
    <w:rsid w:val="00242D82"/>
    <w:rsid w:val="00244D07"/>
    <w:rsid w:val="002452AC"/>
    <w:rsid w:val="00247D35"/>
    <w:rsid w:val="0025069A"/>
    <w:rsid w:val="00254DBA"/>
    <w:rsid w:val="00255F2F"/>
    <w:rsid w:val="002613B3"/>
    <w:rsid w:val="0026508F"/>
    <w:rsid w:val="00270DE5"/>
    <w:rsid w:val="002743F0"/>
    <w:rsid w:val="00280130"/>
    <w:rsid w:val="00280C62"/>
    <w:rsid w:val="002818D2"/>
    <w:rsid w:val="00283526"/>
    <w:rsid w:val="002863E5"/>
    <w:rsid w:val="002922A8"/>
    <w:rsid w:val="002A0AC1"/>
    <w:rsid w:val="002A303D"/>
    <w:rsid w:val="002B1A63"/>
    <w:rsid w:val="002B1B52"/>
    <w:rsid w:val="002C099B"/>
    <w:rsid w:val="002C208F"/>
    <w:rsid w:val="002C5ADA"/>
    <w:rsid w:val="002C7912"/>
    <w:rsid w:val="002D1581"/>
    <w:rsid w:val="002D1DA9"/>
    <w:rsid w:val="002D2C55"/>
    <w:rsid w:val="002D3D06"/>
    <w:rsid w:val="002E51ED"/>
    <w:rsid w:val="002E661C"/>
    <w:rsid w:val="002F4646"/>
    <w:rsid w:val="00300DD8"/>
    <w:rsid w:val="00301046"/>
    <w:rsid w:val="003013B1"/>
    <w:rsid w:val="00301D44"/>
    <w:rsid w:val="00304A81"/>
    <w:rsid w:val="003127D0"/>
    <w:rsid w:val="0031748F"/>
    <w:rsid w:val="00323C57"/>
    <w:rsid w:val="00333121"/>
    <w:rsid w:val="00341123"/>
    <w:rsid w:val="00345F75"/>
    <w:rsid w:val="0035062B"/>
    <w:rsid w:val="00357276"/>
    <w:rsid w:val="0036578B"/>
    <w:rsid w:val="003746DD"/>
    <w:rsid w:val="00377386"/>
    <w:rsid w:val="0038003C"/>
    <w:rsid w:val="00383504"/>
    <w:rsid w:val="00384DAC"/>
    <w:rsid w:val="00387390"/>
    <w:rsid w:val="00390643"/>
    <w:rsid w:val="003914B2"/>
    <w:rsid w:val="003A1683"/>
    <w:rsid w:val="003A48CA"/>
    <w:rsid w:val="003A4AF5"/>
    <w:rsid w:val="003A5454"/>
    <w:rsid w:val="003A7EFD"/>
    <w:rsid w:val="003A7FAD"/>
    <w:rsid w:val="003B0CA7"/>
    <w:rsid w:val="003B2288"/>
    <w:rsid w:val="003B6866"/>
    <w:rsid w:val="003C27C5"/>
    <w:rsid w:val="003C5653"/>
    <w:rsid w:val="003C645E"/>
    <w:rsid w:val="003D30FA"/>
    <w:rsid w:val="003D5447"/>
    <w:rsid w:val="003D655A"/>
    <w:rsid w:val="003D7B9E"/>
    <w:rsid w:val="003E0422"/>
    <w:rsid w:val="003E1020"/>
    <w:rsid w:val="003E346C"/>
    <w:rsid w:val="003E50B1"/>
    <w:rsid w:val="003E6437"/>
    <w:rsid w:val="003F58D1"/>
    <w:rsid w:val="003F5987"/>
    <w:rsid w:val="003F60CB"/>
    <w:rsid w:val="00401826"/>
    <w:rsid w:val="0040347A"/>
    <w:rsid w:val="004068E6"/>
    <w:rsid w:val="00406C5F"/>
    <w:rsid w:val="0042285A"/>
    <w:rsid w:val="00430A3C"/>
    <w:rsid w:val="00433DC7"/>
    <w:rsid w:val="00435645"/>
    <w:rsid w:val="004364EF"/>
    <w:rsid w:val="00437BAD"/>
    <w:rsid w:val="00441268"/>
    <w:rsid w:val="004419A0"/>
    <w:rsid w:val="00441D7A"/>
    <w:rsid w:val="00442282"/>
    <w:rsid w:val="0044303C"/>
    <w:rsid w:val="00445F89"/>
    <w:rsid w:val="00455D2B"/>
    <w:rsid w:val="004571E7"/>
    <w:rsid w:val="004575A2"/>
    <w:rsid w:val="00457E61"/>
    <w:rsid w:val="00460F5E"/>
    <w:rsid w:val="00462CE3"/>
    <w:rsid w:val="0046520D"/>
    <w:rsid w:val="004671DD"/>
    <w:rsid w:val="0047452E"/>
    <w:rsid w:val="00483426"/>
    <w:rsid w:val="004903DC"/>
    <w:rsid w:val="004912BB"/>
    <w:rsid w:val="004923B6"/>
    <w:rsid w:val="00493888"/>
    <w:rsid w:val="0049416D"/>
    <w:rsid w:val="00495AF8"/>
    <w:rsid w:val="004A4CA4"/>
    <w:rsid w:val="004A4F46"/>
    <w:rsid w:val="004A56CE"/>
    <w:rsid w:val="004B3FB4"/>
    <w:rsid w:val="004B6C7A"/>
    <w:rsid w:val="004B7993"/>
    <w:rsid w:val="004B79B6"/>
    <w:rsid w:val="004C063E"/>
    <w:rsid w:val="004D0AB8"/>
    <w:rsid w:val="004D0F4B"/>
    <w:rsid w:val="004E5A7F"/>
    <w:rsid w:val="004E665D"/>
    <w:rsid w:val="004E7D4C"/>
    <w:rsid w:val="004F341A"/>
    <w:rsid w:val="004F5B32"/>
    <w:rsid w:val="004F6E58"/>
    <w:rsid w:val="00501291"/>
    <w:rsid w:val="00504B05"/>
    <w:rsid w:val="00511247"/>
    <w:rsid w:val="005131A6"/>
    <w:rsid w:val="00516413"/>
    <w:rsid w:val="00517326"/>
    <w:rsid w:val="005174C5"/>
    <w:rsid w:val="005178F2"/>
    <w:rsid w:val="005307B3"/>
    <w:rsid w:val="00542FD3"/>
    <w:rsid w:val="005456A5"/>
    <w:rsid w:val="00551B5A"/>
    <w:rsid w:val="0055539D"/>
    <w:rsid w:val="005566FD"/>
    <w:rsid w:val="00561C46"/>
    <w:rsid w:val="005642C8"/>
    <w:rsid w:val="005644EA"/>
    <w:rsid w:val="005653BC"/>
    <w:rsid w:val="00567922"/>
    <w:rsid w:val="00572847"/>
    <w:rsid w:val="00572FF0"/>
    <w:rsid w:val="005749B6"/>
    <w:rsid w:val="00575BAF"/>
    <w:rsid w:val="00576C29"/>
    <w:rsid w:val="0057747A"/>
    <w:rsid w:val="005822D6"/>
    <w:rsid w:val="00584A81"/>
    <w:rsid w:val="00585DE8"/>
    <w:rsid w:val="005875F2"/>
    <w:rsid w:val="00590107"/>
    <w:rsid w:val="00592642"/>
    <w:rsid w:val="00593173"/>
    <w:rsid w:val="005956D5"/>
    <w:rsid w:val="005957E3"/>
    <w:rsid w:val="005A505E"/>
    <w:rsid w:val="005A535B"/>
    <w:rsid w:val="005B0079"/>
    <w:rsid w:val="005B1038"/>
    <w:rsid w:val="005B2C79"/>
    <w:rsid w:val="005B2EDA"/>
    <w:rsid w:val="005B43E5"/>
    <w:rsid w:val="005B4BBB"/>
    <w:rsid w:val="005B5A7F"/>
    <w:rsid w:val="005B7033"/>
    <w:rsid w:val="005C05DC"/>
    <w:rsid w:val="005C183E"/>
    <w:rsid w:val="005C3C03"/>
    <w:rsid w:val="005C66DB"/>
    <w:rsid w:val="005D05E5"/>
    <w:rsid w:val="005D682B"/>
    <w:rsid w:val="005D7F8C"/>
    <w:rsid w:val="005E14EF"/>
    <w:rsid w:val="005E1903"/>
    <w:rsid w:val="00601D40"/>
    <w:rsid w:val="006053A6"/>
    <w:rsid w:val="0061310E"/>
    <w:rsid w:val="00613D55"/>
    <w:rsid w:val="006145A3"/>
    <w:rsid w:val="006158B8"/>
    <w:rsid w:val="00620423"/>
    <w:rsid w:val="006212BB"/>
    <w:rsid w:val="00621CAE"/>
    <w:rsid w:val="00622D6F"/>
    <w:rsid w:val="00627200"/>
    <w:rsid w:val="00627FB7"/>
    <w:rsid w:val="00631F99"/>
    <w:rsid w:val="00633167"/>
    <w:rsid w:val="00634385"/>
    <w:rsid w:val="00635F8C"/>
    <w:rsid w:val="00636ED4"/>
    <w:rsid w:val="00646448"/>
    <w:rsid w:val="00657088"/>
    <w:rsid w:val="00666320"/>
    <w:rsid w:val="00667774"/>
    <w:rsid w:val="0067600C"/>
    <w:rsid w:val="00680FB4"/>
    <w:rsid w:val="006824D9"/>
    <w:rsid w:val="00684D9C"/>
    <w:rsid w:val="00685914"/>
    <w:rsid w:val="00691A8A"/>
    <w:rsid w:val="00692240"/>
    <w:rsid w:val="0069482C"/>
    <w:rsid w:val="006965A3"/>
    <w:rsid w:val="00696DD5"/>
    <w:rsid w:val="006A1DBD"/>
    <w:rsid w:val="006A34B9"/>
    <w:rsid w:val="006A36DC"/>
    <w:rsid w:val="006A376E"/>
    <w:rsid w:val="006A4E61"/>
    <w:rsid w:val="006A6507"/>
    <w:rsid w:val="006A6F36"/>
    <w:rsid w:val="006A737A"/>
    <w:rsid w:val="006B4B4D"/>
    <w:rsid w:val="006B5257"/>
    <w:rsid w:val="006D24AC"/>
    <w:rsid w:val="006D3B30"/>
    <w:rsid w:val="006D3DED"/>
    <w:rsid w:val="006D5742"/>
    <w:rsid w:val="006E0D99"/>
    <w:rsid w:val="006E262D"/>
    <w:rsid w:val="006E767E"/>
    <w:rsid w:val="006E7CA6"/>
    <w:rsid w:val="006F1B9E"/>
    <w:rsid w:val="006F6CAA"/>
    <w:rsid w:val="0070461A"/>
    <w:rsid w:val="00706A35"/>
    <w:rsid w:val="00707BF0"/>
    <w:rsid w:val="0071220A"/>
    <w:rsid w:val="00713154"/>
    <w:rsid w:val="00716BCD"/>
    <w:rsid w:val="00720EE4"/>
    <w:rsid w:val="00721130"/>
    <w:rsid w:val="00723442"/>
    <w:rsid w:val="007253B1"/>
    <w:rsid w:val="00741E66"/>
    <w:rsid w:val="0074713F"/>
    <w:rsid w:val="0075073F"/>
    <w:rsid w:val="00750F33"/>
    <w:rsid w:val="00754DDB"/>
    <w:rsid w:val="00757A5B"/>
    <w:rsid w:val="00757FBC"/>
    <w:rsid w:val="007603C8"/>
    <w:rsid w:val="00760645"/>
    <w:rsid w:val="00764777"/>
    <w:rsid w:val="00767336"/>
    <w:rsid w:val="00775FDD"/>
    <w:rsid w:val="007765FB"/>
    <w:rsid w:val="00776D51"/>
    <w:rsid w:val="0077754C"/>
    <w:rsid w:val="007850BC"/>
    <w:rsid w:val="0078537D"/>
    <w:rsid w:val="0079124B"/>
    <w:rsid w:val="00794026"/>
    <w:rsid w:val="0079727C"/>
    <w:rsid w:val="007A1657"/>
    <w:rsid w:val="007A7A3D"/>
    <w:rsid w:val="007B13E8"/>
    <w:rsid w:val="007B29C4"/>
    <w:rsid w:val="007B31A7"/>
    <w:rsid w:val="007C3E06"/>
    <w:rsid w:val="007D2F0C"/>
    <w:rsid w:val="007D7517"/>
    <w:rsid w:val="007E3F6C"/>
    <w:rsid w:val="007F0943"/>
    <w:rsid w:val="007F1A8F"/>
    <w:rsid w:val="0080320B"/>
    <w:rsid w:val="00803417"/>
    <w:rsid w:val="008037B2"/>
    <w:rsid w:val="00817F3E"/>
    <w:rsid w:val="008273B5"/>
    <w:rsid w:val="00831ADA"/>
    <w:rsid w:val="00834FDF"/>
    <w:rsid w:val="00847348"/>
    <w:rsid w:val="008502D6"/>
    <w:rsid w:val="00850BB7"/>
    <w:rsid w:val="008537AE"/>
    <w:rsid w:val="00856CDC"/>
    <w:rsid w:val="00862321"/>
    <w:rsid w:val="0086678C"/>
    <w:rsid w:val="00875297"/>
    <w:rsid w:val="00880CDA"/>
    <w:rsid w:val="00885C18"/>
    <w:rsid w:val="0089322E"/>
    <w:rsid w:val="008947F7"/>
    <w:rsid w:val="00897885"/>
    <w:rsid w:val="008A4044"/>
    <w:rsid w:val="008B2DC3"/>
    <w:rsid w:val="008B7F6A"/>
    <w:rsid w:val="008C0E81"/>
    <w:rsid w:val="008C4233"/>
    <w:rsid w:val="008C5144"/>
    <w:rsid w:val="008D1C01"/>
    <w:rsid w:val="008D497C"/>
    <w:rsid w:val="008E1AC2"/>
    <w:rsid w:val="008E2177"/>
    <w:rsid w:val="008E495E"/>
    <w:rsid w:val="008F6A4B"/>
    <w:rsid w:val="00901408"/>
    <w:rsid w:val="009063BD"/>
    <w:rsid w:val="0090764B"/>
    <w:rsid w:val="00907FF4"/>
    <w:rsid w:val="00912523"/>
    <w:rsid w:val="00914300"/>
    <w:rsid w:val="00920A31"/>
    <w:rsid w:val="00924CA3"/>
    <w:rsid w:val="00925916"/>
    <w:rsid w:val="00926860"/>
    <w:rsid w:val="00927EDA"/>
    <w:rsid w:val="0093138F"/>
    <w:rsid w:val="009334B8"/>
    <w:rsid w:val="009344E4"/>
    <w:rsid w:val="00934E84"/>
    <w:rsid w:val="009408B9"/>
    <w:rsid w:val="00940BF6"/>
    <w:rsid w:val="0094192A"/>
    <w:rsid w:val="00942AD4"/>
    <w:rsid w:val="0094680F"/>
    <w:rsid w:val="00950A62"/>
    <w:rsid w:val="0095510C"/>
    <w:rsid w:val="00955D92"/>
    <w:rsid w:val="00961744"/>
    <w:rsid w:val="00962A67"/>
    <w:rsid w:val="00963470"/>
    <w:rsid w:val="00977A94"/>
    <w:rsid w:val="009835CC"/>
    <w:rsid w:val="00984D53"/>
    <w:rsid w:val="00986C64"/>
    <w:rsid w:val="009A23FF"/>
    <w:rsid w:val="009B2015"/>
    <w:rsid w:val="009B21DC"/>
    <w:rsid w:val="009B314B"/>
    <w:rsid w:val="009B3799"/>
    <w:rsid w:val="009B38C4"/>
    <w:rsid w:val="009C15B7"/>
    <w:rsid w:val="009C66B3"/>
    <w:rsid w:val="009C7BDF"/>
    <w:rsid w:val="009D39DE"/>
    <w:rsid w:val="009D466A"/>
    <w:rsid w:val="009D72FD"/>
    <w:rsid w:val="009F0848"/>
    <w:rsid w:val="009F31F7"/>
    <w:rsid w:val="009F3CB3"/>
    <w:rsid w:val="009F7C1C"/>
    <w:rsid w:val="00A031C5"/>
    <w:rsid w:val="00A05F9C"/>
    <w:rsid w:val="00A06686"/>
    <w:rsid w:val="00A14CB3"/>
    <w:rsid w:val="00A1502C"/>
    <w:rsid w:val="00A25525"/>
    <w:rsid w:val="00A25EEA"/>
    <w:rsid w:val="00A26BBD"/>
    <w:rsid w:val="00A318BC"/>
    <w:rsid w:val="00A546F7"/>
    <w:rsid w:val="00A554F7"/>
    <w:rsid w:val="00A5730A"/>
    <w:rsid w:val="00A6010B"/>
    <w:rsid w:val="00A61725"/>
    <w:rsid w:val="00A64241"/>
    <w:rsid w:val="00A67EB5"/>
    <w:rsid w:val="00A70103"/>
    <w:rsid w:val="00A7259C"/>
    <w:rsid w:val="00A74127"/>
    <w:rsid w:val="00A77AFE"/>
    <w:rsid w:val="00A81E03"/>
    <w:rsid w:val="00A82C40"/>
    <w:rsid w:val="00A84EA3"/>
    <w:rsid w:val="00A85CCB"/>
    <w:rsid w:val="00A92C9A"/>
    <w:rsid w:val="00A96D0A"/>
    <w:rsid w:val="00AA55C6"/>
    <w:rsid w:val="00AA6467"/>
    <w:rsid w:val="00AA70EE"/>
    <w:rsid w:val="00AB1BEF"/>
    <w:rsid w:val="00AB39F4"/>
    <w:rsid w:val="00AC3BDE"/>
    <w:rsid w:val="00AC7B2C"/>
    <w:rsid w:val="00AD0611"/>
    <w:rsid w:val="00AE0544"/>
    <w:rsid w:val="00AE2031"/>
    <w:rsid w:val="00AE4537"/>
    <w:rsid w:val="00AF0B80"/>
    <w:rsid w:val="00B0071A"/>
    <w:rsid w:val="00B05F7F"/>
    <w:rsid w:val="00B0640C"/>
    <w:rsid w:val="00B11032"/>
    <w:rsid w:val="00B138A5"/>
    <w:rsid w:val="00B14698"/>
    <w:rsid w:val="00B3481B"/>
    <w:rsid w:val="00B35296"/>
    <w:rsid w:val="00B35414"/>
    <w:rsid w:val="00B361EB"/>
    <w:rsid w:val="00B461F9"/>
    <w:rsid w:val="00B47E2B"/>
    <w:rsid w:val="00B55102"/>
    <w:rsid w:val="00B75C94"/>
    <w:rsid w:val="00B76191"/>
    <w:rsid w:val="00B80867"/>
    <w:rsid w:val="00B85275"/>
    <w:rsid w:val="00B85938"/>
    <w:rsid w:val="00B8677F"/>
    <w:rsid w:val="00B919FF"/>
    <w:rsid w:val="00B94600"/>
    <w:rsid w:val="00BB030E"/>
    <w:rsid w:val="00BB3412"/>
    <w:rsid w:val="00BB5ADD"/>
    <w:rsid w:val="00BB68B8"/>
    <w:rsid w:val="00BC08A9"/>
    <w:rsid w:val="00BC7C21"/>
    <w:rsid w:val="00BE67DF"/>
    <w:rsid w:val="00BF2C09"/>
    <w:rsid w:val="00BF587B"/>
    <w:rsid w:val="00BF6691"/>
    <w:rsid w:val="00C0021D"/>
    <w:rsid w:val="00C051CA"/>
    <w:rsid w:val="00C0720D"/>
    <w:rsid w:val="00C147EB"/>
    <w:rsid w:val="00C14F9B"/>
    <w:rsid w:val="00C162BB"/>
    <w:rsid w:val="00C16A5F"/>
    <w:rsid w:val="00C17EFB"/>
    <w:rsid w:val="00C210AB"/>
    <w:rsid w:val="00C259FD"/>
    <w:rsid w:val="00C31838"/>
    <w:rsid w:val="00C31C2E"/>
    <w:rsid w:val="00C42B52"/>
    <w:rsid w:val="00C44EB1"/>
    <w:rsid w:val="00C4524B"/>
    <w:rsid w:val="00C45B12"/>
    <w:rsid w:val="00C51042"/>
    <w:rsid w:val="00C54A95"/>
    <w:rsid w:val="00C563E4"/>
    <w:rsid w:val="00C621B0"/>
    <w:rsid w:val="00C6462B"/>
    <w:rsid w:val="00C73F49"/>
    <w:rsid w:val="00C759E1"/>
    <w:rsid w:val="00C76704"/>
    <w:rsid w:val="00C84C57"/>
    <w:rsid w:val="00C851C6"/>
    <w:rsid w:val="00C85FEC"/>
    <w:rsid w:val="00C922AA"/>
    <w:rsid w:val="00CA2C72"/>
    <w:rsid w:val="00CA4849"/>
    <w:rsid w:val="00CA7E9E"/>
    <w:rsid w:val="00CB24D6"/>
    <w:rsid w:val="00CB42EF"/>
    <w:rsid w:val="00CB6208"/>
    <w:rsid w:val="00CC00D7"/>
    <w:rsid w:val="00CC01C6"/>
    <w:rsid w:val="00CC205C"/>
    <w:rsid w:val="00CC318B"/>
    <w:rsid w:val="00CC37D3"/>
    <w:rsid w:val="00CD1738"/>
    <w:rsid w:val="00CD4774"/>
    <w:rsid w:val="00CD49E3"/>
    <w:rsid w:val="00CD4C62"/>
    <w:rsid w:val="00CD717B"/>
    <w:rsid w:val="00CE465B"/>
    <w:rsid w:val="00CF0D88"/>
    <w:rsid w:val="00CF2482"/>
    <w:rsid w:val="00CF3A34"/>
    <w:rsid w:val="00CF42E4"/>
    <w:rsid w:val="00D03526"/>
    <w:rsid w:val="00D156BD"/>
    <w:rsid w:val="00D16802"/>
    <w:rsid w:val="00D27687"/>
    <w:rsid w:val="00D31349"/>
    <w:rsid w:val="00D413D7"/>
    <w:rsid w:val="00D44BED"/>
    <w:rsid w:val="00D46150"/>
    <w:rsid w:val="00D56D0A"/>
    <w:rsid w:val="00D57381"/>
    <w:rsid w:val="00D57C53"/>
    <w:rsid w:val="00D6264F"/>
    <w:rsid w:val="00D62ABC"/>
    <w:rsid w:val="00D634DD"/>
    <w:rsid w:val="00D646F5"/>
    <w:rsid w:val="00D6640D"/>
    <w:rsid w:val="00D66E4B"/>
    <w:rsid w:val="00D70A73"/>
    <w:rsid w:val="00D719B6"/>
    <w:rsid w:val="00D74E2D"/>
    <w:rsid w:val="00D81207"/>
    <w:rsid w:val="00D85A8F"/>
    <w:rsid w:val="00D85EEA"/>
    <w:rsid w:val="00D92B81"/>
    <w:rsid w:val="00D92D25"/>
    <w:rsid w:val="00D93D89"/>
    <w:rsid w:val="00DB0490"/>
    <w:rsid w:val="00DC30DE"/>
    <w:rsid w:val="00DC6215"/>
    <w:rsid w:val="00DD023A"/>
    <w:rsid w:val="00DD14B9"/>
    <w:rsid w:val="00DD66EA"/>
    <w:rsid w:val="00DE24DC"/>
    <w:rsid w:val="00DE48D0"/>
    <w:rsid w:val="00DE6EB0"/>
    <w:rsid w:val="00DE77DA"/>
    <w:rsid w:val="00DF232E"/>
    <w:rsid w:val="00DF30B3"/>
    <w:rsid w:val="00DF486B"/>
    <w:rsid w:val="00E02C4D"/>
    <w:rsid w:val="00E076A4"/>
    <w:rsid w:val="00E12DA7"/>
    <w:rsid w:val="00E138DB"/>
    <w:rsid w:val="00E171AC"/>
    <w:rsid w:val="00E17FD3"/>
    <w:rsid w:val="00E34481"/>
    <w:rsid w:val="00E410E8"/>
    <w:rsid w:val="00E41106"/>
    <w:rsid w:val="00E47587"/>
    <w:rsid w:val="00E50B18"/>
    <w:rsid w:val="00E54B85"/>
    <w:rsid w:val="00E575EC"/>
    <w:rsid w:val="00E72435"/>
    <w:rsid w:val="00E80880"/>
    <w:rsid w:val="00E845C2"/>
    <w:rsid w:val="00E91A04"/>
    <w:rsid w:val="00E940D7"/>
    <w:rsid w:val="00E945E7"/>
    <w:rsid w:val="00E9460C"/>
    <w:rsid w:val="00E95CCE"/>
    <w:rsid w:val="00E95CF2"/>
    <w:rsid w:val="00EA4322"/>
    <w:rsid w:val="00EA462C"/>
    <w:rsid w:val="00EB52D6"/>
    <w:rsid w:val="00EB5631"/>
    <w:rsid w:val="00EB5AC5"/>
    <w:rsid w:val="00EB68BC"/>
    <w:rsid w:val="00EC4319"/>
    <w:rsid w:val="00ED12FF"/>
    <w:rsid w:val="00ED2FCC"/>
    <w:rsid w:val="00ED32AC"/>
    <w:rsid w:val="00EE14A5"/>
    <w:rsid w:val="00EE1BB3"/>
    <w:rsid w:val="00EE3081"/>
    <w:rsid w:val="00EE606D"/>
    <w:rsid w:val="00EE63F0"/>
    <w:rsid w:val="00EF7207"/>
    <w:rsid w:val="00F0198C"/>
    <w:rsid w:val="00F02D7D"/>
    <w:rsid w:val="00F04255"/>
    <w:rsid w:val="00F101C9"/>
    <w:rsid w:val="00F12D2F"/>
    <w:rsid w:val="00F1330F"/>
    <w:rsid w:val="00F1759C"/>
    <w:rsid w:val="00F21223"/>
    <w:rsid w:val="00F23BFB"/>
    <w:rsid w:val="00F308A0"/>
    <w:rsid w:val="00F361C6"/>
    <w:rsid w:val="00F5056B"/>
    <w:rsid w:val="00F542E5"/>
    <w:rsid w:val="00F54724"/>
    <w:rsid w:val="00F61578"/>
    <w:rsid w:val="00F7250E"/>
    <w:rsid w:val="00F75249"/>
    <w:rsid w:val="00F75702"/>
    <w:rsid w:val="00F8371C"/>
    <w:rsid w:val="00F8404A"/>
    <w:rsid w:val="00F84ADA"/>
    <w:rsid w:val="00F85B25"/>
    <w:rsid w:val="00F86910"/>
    <w:rsid w:val="00F953CF"/>
    <w:rsid w:val="00F96A67"/>
    <w:rsid w:val="00FA015A"/>
    <w:rsid w:val="00FA69C8"/>
    <w:rsid w:val="00FB35ED"/>
    <w:rsid w:val="00FB6C52"/>
    <w:rsid w:val="00FC42F0"/>
    <w:rsid w:val="00FD0C82"/>
    <w:rsid w:val="00FD34DD"/>
    <w:rsid w:val="00FE4202"/>
    <w:rsid w:val="00FE599C"/>
    <w:rsid w:val="00FF11BB"/>
    <w:rsid w:val="00FF159D"/>
    <w:rsid w:val="00FF6BC7"/>
    <w:rsid w:val="00FF75F0"/>
    <w:rsid w:val="01770107"/>
    <w:rsid w:val="03973DC9"/>
    <w:rsid w:val="078C2DF2"/>
    <w:rsid w:val="097AEC87"/>
    <w:rsid w:val="1011E6CA"/>
    <w:rsid w:val="11CF58F3"/>
    <w:rsid w:val="13A957DD"/>
    <w:rsid w:val="15F7EE8E"/>
    <w:rsid w:val="1719112C"/>
    <w:rsid w:val="185D45B5"/>
    <w:rsid w:val="18C609B2"/>
    <w:rsid w:val="1A58A59D"/>
    <w:rsid w:val="20E3EE22"/>
    <w:rsid w:val="240E9021"/>
    <w:rsid w:val="275C78A9"/>
    <w:rsid w:val="276EBD54"/>
    <w:rsid w:val="29AFE756"/>
    <w:rsid w:val="2F7512D2"/>
    <w:rsid w:val="35C2B81F"/>
    <w:rsid w:val="3B442B77"/>
    <w:rsid w:val="3C132BA8"/>
    <w:rsid w:val="3CE7E81A"/>
    <w:rsid w:val="3D75AF35"/>
    <w:rsid w:val="4294DD6E"/>
    <w:rsid w:val="441BFD4E"/>
    <w:rsid w:val="4797CAB6"/>
    <w:rsid w:val="4B315BF6"/>
    <w:rsid w:val="4D8EAFD0"/>
    <w:rsid w:val="4DA5E606"/>
    <w:rsid w:val="4DEE03CC"/>
    <w:rsid w:val="4EDBFB39"/>
    <w:rsid w:val="4F572B89"/>
    <w:rsid w:val="56152718"/>
    <w:rsid w:val="5AF944F6"/>
    <w:rsid w:val="5E01684F"/>
    <w:rsid w:val="60BBD222"/>
    <w:rsid w:val="6172467A"/>
    <w:rsid w:val="6491ED9C"/>
    <w:rsid w:val="64EA0A6F"/>
    <w:rsid w:val="694BA346"/>
    <w:rsid w:val="6B0A52CB"/>
    <w:rsid w:val="6C371D67"/>
    <w:rsid w:val="71C56A66"/>
    <w:rsid w:val="7A8F13E1"/>
    <w:rsid w:val="7D9346FF"/>
    <w:rsid w:val="7E10C620"/>
    <w:rsid w:val="7F2D8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F600C"/>
  <w15:chartTrackingRefBased/>
  <w15:docId w15:val="{46357e6f-59c2-4b6d-9b3f-080e5f6647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2523"/>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uiPriority w:val="9"/>
    <w:qFormat/>
    <w:rsid w:val="00D66E4B"/>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qFormat/>
    <w:rsid w:val="00912523"/>
    <w:pPr>
      <w:keepNext/>
      <w:tabs>
        <w:tab w:val="left" w:pos="720"/>
        <w:tab w:val="left" w:pos="6210"/>
      </w:tabs>
      <w:outlineLvl w:val="1"/>
    </w:pPr>
    <w:rPr>
      <w:rFonts w:ascii="Courier" w:hAnsi="Courier"/>
      <w:b/>
      <w:bCs/>
      <w:sz w:val="24"/>
    </w:rPr>
  </w:style>
  <w:style w:type="paragraph" w:styleId="Heading4">
    <w:name w:val="heading 4"/>
    <w:basedOn w:val="Normal"/>
    <w:next w:val="Normal"/>
    <w:link w:val="Heading4Char"/>
    <w:uiPriority w:val="9"/>
    <w:semiHidden/>
    <w:unhideWhenUsed/>
    <w:qFormat/>
    <w:rsid w:val="00927EDA"/>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912523"/>
    <w:rPr>
      <w:rFonts w:ascii="Courier" w:hAnsi="Courier" w:eastAsia="Times New Roman" w:cs="Times New Roman"/>
      <w:b/>
      <w:bCs/>
      <w:sz w:val="24"/>
      <w:szCs w:val="20"/>
    </w:rPr>
  </w:style>
  <w:style w:type="paragraph" w:styleId="Footer">
    <w:name w:val="footer"/>
    <w:basedOn w:val="Normal"/>
    <w:link w:val="FooterChar"/>
    <w:uiPriority w:val="99"/>
    <w:rsid w:val="00912523"/>
    <w:pPr>
      <w:tabs>
        <w:tab w:val="center" w:pos="4320"/>
        <w:tab w:val="right" w:pos="8640"/>
      </w:tabs>
    </w:pPr>
  </w:style>
  <w:style w:type="character" w:styleId="FooterChar" w:customStyle="1">
    <w:name w:val="Footer Char"/>
    <w:basedOn w:val="DefaultParagraphFont"/>
    <w:link w:val="Footer"/>
    <w:uiPriority w:val="99"/>
    <w:rsid w:val="00912523"/>
    <w:rPr>
      <w:rFonts w:ascii="Times New Roman" w:hAnsi="Times New Roman" w:eastAsia="Times New Roman" w:cs="Times New Roman"/>
      <w:sz w:val="20"/>
      <w:szCs w:val="20"/>
    </w:rPr>
  </w:style>
  <w:style w:type="paragraph" w:styleId="BodyText">
    <w:name w:val="Body Text"/>
    <w:basedOn w:val="Normal"/>
    <w:link w:val="BodyTextChar"/>
    <w:rsid w:val="00912523"/>
    <w:rPr>
      <w:rFonts w:ascii="Courier" w:hAnsi="Courier"/>
      <w:sz w:val="24"/>
    </w:rPr>
  </w:style>
  <w:style w:type="character" w:styleId="BodyTextChar" w:customStyle="1">
    <w:name w:val="Body Text Char"/>
    <w:basedOn w:val="DefaultParagraphFont"/>
    <w:link w:val="BodyText"/>
    <w:rsid w:val="00912523"/>
    <w:rPr>
      <w:rFonts w:ascii="Courier" w:hAnsi="Courier" w:eastAsia="Times New Roman" w:cs="Times New Roman"/>
      <w:sz w:val="24"/>
      <w:szCs w:val="20"/>
    </w:rPr>
  </w:style>
  <w:style w:type="paragraph" w:styleId="HTMLPreformatted">
    <w:name w:val="HTML Preformatted"/>
    <w:basedOn w:val="Normal"/>
    <w:link w:val="HTMLPreformattedChar"/>
    <w:rsid w:val="0091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basedOn w:val="DefaultParagraphFont"/>
    <w:link w:val="HTMLPreformatted"/>
    <w:rsid w:val="00912523"/>
    <w:rPr>
      <w:rFonts w:ascii="Courier New" w:hAnsi="Courier New" w:eastAsia="Times New Roman" w:cs="Courier New"/>
      <w:sz w:val="20"/>
      <w:szCs w:val="20"/>
    </w:rPr>
  </w:style>
  <w:style w:type="paragraph" w:styleId="Header">
    <w:name w:val="header"/>
    <w:basedOn w:val="Normal"/>
    <w:link w:val="HeaderChar"/>
    <w:rsid w:val="00912523"/>
    <w:pPr>
      <w:tabs>
        <w:tab w:val="center" w:pos="4320"/>
        <w:tab w:val="right" w:pos="8640"/>
      </w:tabs>
    </w:pPr>
  </w:style>
  <w:style w:type="character" w:styleId="HeaderChar" w:customStyle="1">
    <w:name w:val="Header Char"/>
    <w:basedOn w:val="DefaultParagraphFont"/>
    <w:link w:val="Header"/>
    <w:rsid w:val="00912523"/>
    <w:rPr>
      <w:rFonts w:ascii="Times New Roman" w:hAnsi="Times New Roman" w:eastAsia="Times New Roman" w:cs="Times New Roman"/>
      <w:sz w:val="20"/>
      <w:szCs w:val="20"/>
    </w:rPr>
  </w:style>
  <w:style w:type="paragraph" w:styleId="ListParagraph">
    <w:name w:val="List Paragraph"/>
    <w:basedOn w:val="Normal"/>
    <w:uiPriority w:val="34"/>
    <w:qFormat/>
    <w:rsid w:val="00EE606D"/>
    <w:pPr>
      <w:ind w:left="720"/>
      <w:contextualSpacing/>
    </w:pPr>
  </w:style>
  <w:style w:type="paragraph" w:styleId="FootnoteText">
    <w:name w:val="footnote text"/>
    <w:basedOn w:val="Normal"/>
    <w:link w:val="FootnoteTextChar"/>
    <w:uiPriority w:val="99"/>
    <w:semiHidden/>
    <w:rsid w:val="00032165"/>
    <w:rPr>
      <w:rFonts w:eastAsia="Calibri"/>
      <w:color w:val="000000"/>
    </w:rPr>
  </w:style>
  <w:style w:type="character" w:styleId="FootnoteTextChar" w:customStyle="1">
    <w:name w:val="Footnote Text Char"/>
    <w:basedOn w:val="DefaultParagraphFont"/>
    <w:link w:val="FootnoteText"/>
    <w:uiPriority w:val="99"/>
    <w:semiHidden/>
    <w:rsid w:val="00032165"/>
    <w:rPr>
      <w:rFonts w:ascii="Times New Roman" w:hAnsi="Times New Roman" w:eastAsia="Calibri" w:cs="Times New Roman"/>
      <w:color w:val="000000"/>
      <w:sz w:val="20"/>
      <w:szCs w:val="20"/>
    </w:rPr>
  </w:style>
  <w:style w:type="character" w:styleId="FootnoteReference">
    <w:name w:val="footnote reference"/>
    <w:basedOn w:val="DefaultParagraphFont"/>
    <w:uiPriority w:val="99"/>
    <w:rsid w:val="00032165"/>
    <w:rPr>
      <w:rFonts w:cs="Times New Roman"/>
      <w:vertAlign w:val="superscript"/>
    </w:rPr>
  </w:style>
  <w:style w:type="character" w:styleId="Hyperlink">
    <w:name w:val="Hyperlink"/>
    <w:rsid w:val="00927EDA"/>
    <w:rPr>
      <w:color w:val="0000FF"/>
      <w:u w:val="single"/>
    </w:rPr>
  </w:style>
  <w:style w:type="character" w:styleId="Heading4Char" w:customStyle="1">
    <w:name w:val="Heading 4 Char"/>
    <w:basedOn w:val="DefaultParagraphFont"/>
    <w:link w:val="Heading4"/>
    <w:uiPriority w:val="9"/>
    <w:semiHidden/>
    <w:rsid w:val="00927EDA"/>
    <w:rPr>
      <w:rFonts w:asciiTheme="majorHAnsi" w:hAnsiTheme="majorHAnsi" w:eastAsiaTheme="majorEastAsia" w:cstheme="majorBidi"/>
      <w:i/>
      <w:iCs/>
      <w:color w:val="2E74B5" w:themeColor="accent1" w:themeShade="BF"/>
      <w:sz w:val="20"/>
      <w:szCs w:val="20"/>
    </w:rPr>
  </w:style>
  <w:style w:type="paragraph" w:styleId="BodyTextIndent2">
    <w:name w:val="Body Text Indent 2"/>
    <w:basedOn w:val="Normal"/>
    <w:link w:val="BodyTextIndent2Char"/>
    <w:rsid w:val="00927EDA"/>
    <w:pPr>
      <w:spacing w:after="120" w:line="480" w:lineRule="auto"/>
      <w:ind w:left="360"/>
    </w:pPr>
  </w:style>
  <w:style w:type="character" w:styleId="BodyTextIndent2Char" w:customStyle="1">
    <w:name w:val="Body Text Indent 2 Char"/>
    <w:basedOn w:val="DefaultParagraphFont"/>
    <w:link w:val="BodyTextIndent2"/>
    <w:rsid w:val="00927EDA"/>
    <w:rPr>
      <w:rFonts w:ascii="Times New Roman" w:hAnsi="Times New Roman" w:eastAsia="Times New Roman" w:cs="Times New Roman"/>
      <w:sz w:val="20"/>
      <w:szCs w:val="20"/>
    </w:rPr>
  </w:style>
  <w:style w:type="character" w:styleId="CommentReference">
    <w:name w:val="annotation reference"/>
    <w:basedOn w:val="DefaultParagraphFont"/>
    <w:semiHidden/>
    <w:unhideWhenUsed/>
    <w:rsid w:val="00FA015A"/>
    <w:rPr>
      <w:sz w:val="16"/>
      <w:szCs w:val="16"/>
    </w:rPr>
  </w:style>
  <w:style w:type="paragraph" w:styleId="CommentText">
    <w:name w:val="annotation text"/>
    <w:basedOn w:val="Normal"/>
    <w:link w:val="CommentTextChar"/>
    <w:semiHidden/>
    <w:unhideWhenUsed/>
    <w:rsid w:val="00FA015A"/>
  </w:style>
  <w:style w:type="character" w:styleId="CommentTextChar" w:customStyle="1">
    <w:name w:val="Comment Text Char"/>
    <w:basedOn w:val="DefaultParagraphFont"/>
    <w:link w:val="CommentText"/>
    <w:semiHidden/>
    <w:rsid w:val="00FA015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15A"/>
    <w:rPr>
      <w:b/>
      <w:bCs/>
    </w:rPr>
  </w:style>
  <w:style w:type="character" w:styleId="CommentSubjectChar" w:customStyle="1">
    <w:name w:val="Comment Subject Char"/>
    <w:basedOn w:val="CommentTextChar"/>
    <w:link w:val="CommentSubject"/>
    <w:uiPriority w:val="99"/>
    <w:semiHidden/>
    <w:rsid w:val="00FA015A"/>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FA015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015A"/>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D66E4B"/>
    <w:rPr>
      <w:rFonts w:asciiTheme="majorHAnsi" w:hAnsiTheme="majorHAnsi" w:eastAsiaTheme="majorEastAsia" w:cstheme="majorBidi"/>
      <w:color w:val="2E74B5" w:themeColor="accent1" w:themeShade="BF"/>
      <w:sz w:val="32"/>
      <w:szCs w:val="32"/>
    </w:rPr>
  </w:style>
  <w:style w:type="paragraph" w:styleId="BodyTextIndent">
    <w:name w:val="Body Text Indent"/>
    <w:basedOn w:val="Normal"/>
    <w:link w:val="BodyTextIndentChar"/>
    <w:rsid w:val="00B461F9"/>
    <w:pPr>
      <w:spacing w:after="120"/>
      <w:ind w:left="360"/>
    </w:pPr>
  </w:style>
  <w:style w:type="character" w:styleId="BodyTextIndentChar" w:customStyle="1">
    <w:name w:val="Body Text Indent Char"/>
    <w:basedOn w:val="DefaultParagraphFont"/>
    <w:link w:val="BodyTextIndent"/>
    <w:rsid w:val="00B461F9"/>
    <w:rPr>
      <w:rFonts w:ascii="Times New Roman" w:hAnsi="Times New Roman" w:eastAsia="Times New Roman" w:cs="Times New Roman"/>
      <w:sz w:val="20"/>
      <w:szCs w:val="20"/>
    </w:rPr>
  </w:style>
  <w:style w:type="character" w:styleId="FollowedHyperlink">
    <w:name w:val="FollowedHyperlink"/>
    <w:basedOn w:val="DefaultParagraphFont"/>
    <w:uiPriority w:val="99"/>
    <w:semiHidden/>
    <w:unhideWhenUsed/>
    <w:rsid w:val="00B8677F"/>
    <w:rPr>
      <w:color w:val="954F72" w:themeColor="followedHyperlink"/>
      <w:u w:val="single"/>
    </w:rPr>
  </w:style>
  <w:style w:type="paragraph" w:styleId="Revision">
    <w:name w:val="Revision"/>
    <w:hidden/>
    <w:uiPriority w:val="99"/>
    <w:semiHidden/>
    <w:rsid w:val="00C6462B"/>
    <w:pPr>
      <w:spacing w:after="0" w:line="240" w:lineRule="auto"/>
    </w:pPr>
    <w:rPr>
      <w:rFonts w:ascii="Times New Roman" w:hAnsi="Times New Roman" w:eastAsia="Times New Roman" w:cs="Times New Roman"/>
      <w:sz w:val="20"/>
      <w:szCs w:val="20"/>
    </w:rPr>
  </w:style>
  <w:style w:type="character" w:styleId="UnresolvedMention1" w:customStyle="1">
    <w:name w:val="Unresolved Mention1"/>
    <w:basedOn w:val="DefaultParagraphFont"/>
    <w:uiPriority w:val="99"/>
    <w:semiHidden/>
    <w:unhideWhenUsed/>
    <w:rsid w:val="002A0AC1"/>
    <w:rPr>
      <w:color w:val="605E5C"/>
      <w:shd w:val="clear" w:color="auto" w:fill="E1DFDD"/>
    </w:rPr>
  </w:style>
  <w:style w:type="paragraph" w:styleId="xmsolistparagraph" w:customStyle="1">
    <w:name w:val="x_msolistparagraph"/>
    <w:basedOn w:val="Normal"/>
    <w:rsid w:val="00955D92"/>
    <w:pPr>
      <w:ind w:left="720"/>
    </w:pPr>
    <w:rPr>
      <w:rFonts w:eastAsiaTheme="minorHAnsi"/>
      <w:sz w:val="24"/>
      <w:szCs w:val="24"/>
    </w:rPr>
  </w:style>
  <w:style w:type="character" w:styleId="xmsocommentreference" w:customStyle="1">
    <w:name w:val="x_msocommentreference"/>
    <w:basedOn w:val="DefaultParagraphFont"/>
    <w:rsid w:val="0095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4680">
      <w:bodyDiv w:val="1"/>
      <w:marLeft w:val="0"/>
      <w:marRight w:val="0"/>
      <w:marTop w:val="0"/>
      <w:marBottom w:val="0"/>
      <w:divBdr>
        <w:top w:val="none" w:sz="0" w:space="0" w:color="auto"/>
        <w:left w:val="none" w:sz="0" w:space="0" w:color="auto"/>
        <w:bottom w:val="none" w:sz="0" w:space="0" w:color="auto"/>
        <w:right w:val="none" w:sz="0" w:space="0" w:color="auto"/>
      </w:divBdr>
    </w:div>
    <w:div w:id="79958290">
      <w:bodyDiv w:val="1"/>
      <w:marLeft w:val="0"/>
      <w:marRight w:val="0"/>
      <w:marTop w:val="0"/>
      <w:marBottom w:val="0"/>
      <w:divBdr>
        <w:top w:val="none" w:sz="0" w:space="0" w:color="auto"/>
        <w:left w:val="none" w:sz="0" w:space="0" w:color="auto"/>
        <w:bottom w:val="none" w:sz="0" w:space="0" w:color="auto"/>
        <w:right w:val="none" w:sz="0" w:space="0" w:color="auto"/>
      </w:divBdr>
    </w:div>
    <w:div w:id="144400066">
      <w:bodyDiv w:val="1"/>
      <w:marLeft w:val="0"/>
      <w:marRight w:val="0"/>
      <w:marTop w:val="0"/>
      <w:marBottom w:val="0"/>
      <w:divBdr>
        <w:top w:val="none" w:sz="0" w:space="0" w:color="auto"/>
        <w:left w:val="none" w:sz="0" w:space="0" w:color="auto"/>
        <w:bottom w:val="none" w:sz="0" w:space="0" w:color="auto"/>
        <w:right w:val="none" w:sz="0" w:space="0" w:color="auto"/>
      </w:divBdr>
    </w:div>
    <w:div w:id="156503692">
      <w:bodyDiv w:val="1"/>
      <w:marLeft w:val="0"/>
      <w:marRight w:val="0"/>
      <w:marTop w:val="0"/>
      <w:marBottom w:val="0"/>
      <w:divBdr>
        <w:top w:val="none" w:sz="0" w:space="0" w:color="auto"/>
        <w:left w:val="none" w:sz="0" w:space="0" w:color="auto"/>
        <w:bottom w:val="none" w:sz="0" w:space="0" w:color="auto"/>
        <w:right w:val="none" w:sz="0" w:space="0" w:color="auto"/>
      </w:divBdr>
    </w:div>
    <w:div w:id="170147793">
      <w:bodyDiv w:val="1"/>
      <w:marLeft w:val="0"/>
      <w:marRight w:val="0"/>
      <w:marTop w:val="0"/>
      <w:marBottom w:val="0"/>
      <w:divBdr>
        <w:top w:val="none" w:sz="0" w:space="0" w:color="auto"/>
        <w:left w:val="none" w:sz="0" w:space="0" w:color="auto"/>
        <w:bottom w:val="none" w:sz="0" w:space="0" w:color="auto"/>
        <w:right w:val="none" w:sz="0" w:space="0" w:color="auto"/>
      </w:divBdr>
    </w:div>
    <w:div w:id="448624167">
      <w:bodyDiv w:val="1"/>
      <w:marLeft w:val="0"/>
      <w:marRight w:val="0"/>
      <w:marTop w:val="0"/>
      <w:marBottom w:val="0"/>
      <w:divBdr>
        <w:top w:val="none" w:sz="0" w:space="0" w:color="auto"/>
        <w:left w:val="none" w:sz="0" w:space="0" w:color="auto"/>
        <w:bottom w:val="none" w:sz="0" w:space="0" w:color="auto"/>
        <w:right w:val="none" w:sz="0" w:space="0" w:color="auto"/>
      </w:divBdr>
    </w:div>
    <w:div w:id="465704322">
      <w:bodyDiv w:val="1"/>
      <w:marLeft w:val="0"/>
      <w:marRight w:val="0"/>
      <w:marTop w:val="0"/>
      <w:marBottom w:val="0"/>
      <w:divBdr>
        <w:top w:val="none" w:sz="0" w:space="0" w:color="auto"/>
        <w:left w:val="none" w:sz="0" w:space="0" w:color="auto"/>
        <w:bottom w:val="none" w:sz="0" w:space="0" w:color="auto"/>
        <w:right w:val="none" w:sz="0" w:space="0" w:color="auto"/>
      </w:divBdr>
    </w:div>
    <w:div w:id="664287724">
      <w:bodyDiv w:val="1"/>
      <w:marLeft w:val="0"/>
      <w:marRight w:val="0"/>
      <w:marTop w:val="0"/>
      <w:marBottom w:val="0"/>
      <w:divBdr>
        <w:top w:val="none" w:sz="0" w:space="0" w:color="auto"/>
        <w:left w:val="none" w:sz="0" w:space="0" w:color="auto"/>
        <w:bottom w:val="none" w:sz="0" w:space="0" w:color="auto"/>
        <w:right w:val="none" w:sz="0" w:space="0" w:color="auto"/>
      </w:divBdr>
    </w:div>
    <w:div w:id="753742577">
      <w:bodyDiv w:val="1"/>
      <w:marLeft w:val="0"/>
      <w:marRight w:val="0"/>
      <w:marTop w:val="0"/>
      <w:marBottom w:val="0"/>
      <w:divBdr>
        <w:top w:val="none" w:sz="0" w:space="0" w:color="auto"/>
        <w:left w:val="none" w:sz="0" w:space="0" w:color="auto"/>
        <w:bottom w:val="none" w:sz="0" w:space="0" w:color="auto"/>
        <w:right w:val="none" w:sz="0" w:space="0" w:color="auto"/>
      </w:divBdr>
    </w:div>
    <w:div w:id="861552384">
      <w:bodyDiv w:val="1"/>
      <w:marLeft w:val="0"/>
      <w:marRight w:val="0"/>
      <w:marTop w:val="0"/>
      <w:marBottom w:val="0"/>
      <w:divBdr>
        <w:top w:val="none" w:sz="0" w:space="0" w:color="auto"/>
        <w:left w:val="none" w:sz="0" w:space="0" w:color="auto"/>
        <w:bottom w:val="none" w:sz="0" w:space="0" w:color="auto"/>
        <w:right w:val="none" w:sz="0" w:space="0" w:color="auto"/>
      </w:divBdr>
    </w:div>
    <w:div w:id="972561656">
      <w:bodyDiv w:val="1"/>
      <w:marLeft w:val="0"/>
      <w:marRight w:val="0"/>
      <w:marTop w:val="0"/>
      <w:marBottom w:val="0"/>
      <w:divBdr>
        <w:top w:val="none" w:sz="0" w:space="0" w:color="auto"/>
        <w:left w:val="none" w:sz="0" w:space="0" w:color="auto"/>
        <w:bottom w:val="none" w:sz="0" w:space="0" w:color="auto"/>
        <w:right w:val="none" w:sz="0" w:space="0" w:color="auto"/>
      </w:divBdr>
    </w:div>
    <w:div w:id="1036613911">
      <w:bodyDiv w:val="1"/>
      <w:marLeft w:val="0"/>
      <w:marRight w:val="0"/>
      <w:marTop w:val="0"/>
      <w:marBottom w:val="0"/>
      <w:divBdr>
        <w:top w:val="none" w:sz="0" w:space="0" w:color="auto"/>
        <w:left w:val="none" w:sz="0" w:space="0" w:color="auto"/>
        <w:bottom w:val="none" w:sz="0" w:space="0" w:color="auto"/>
        <w:right w:val="none" w:sz="0" w:space="0" w:color="auto"/>
      </w:divBdr>
    </w:div>
    <w:div w:id="1230114246">
      <w:bodyDiv w:val="1"/>
      <w:marLeft w:val="0"/>
      <w:marRight w:val="0"/>
      <w:marTop w:val="0"/>
      <w:marBottom w:val="0"/>
      <w:divBdr>
        <w:top w:val="none" w:sz="0" w:space="0" w:color="auto"/>
        <w:left w:val="none" w:sz="0" w:space="0" w:color="auto"/>
        <w:bottom w:val="none" w:sz="0" w:space="0" w:color="auto"/>
        <w:right w:val="none" w:sz="0" w:space="0" w:color="auto"/>
      </w:divBdr>
    </w:div>
    <w:div w:id="1255557201">
      <w:bodyDiv w:val="1"/>
      <w:marLeft w:val="0"/>
      <w:marRight w:val="0"/>
      <w:marTop w:val="0"/>
      <w:marBottom w:val="0"/>
      <w:divBdr>
        <w:top w:val="none" w:sz="0" w:space="0" w:color="auto"/>
        <w:left w:val="none" w:sz="0" w:space="0" w:color="auto"/>
        <w:bottom w:val="none" w:sz="0" w:space="0" w:color="auto"/>
        <w:right w:val="none" w:sz="0" w:space="0" w:color="auto"/>
      </w:divBdr>
    </w:div>
    <w:div w:id="1299726063">
      <w:bodyDiv w:val="1"/>
      <w:marLeft w:val="0"/>
      <w:marRight w:val="0"/>
      <w:marTop w:val="0"/>
      <w:marBottom w:val="0"/>
      <w:divBdr>
        <w:top w:val="none" w:sz="0" w:space="0" w:color="auto"/>
        <w:left w:val="none" w:sz="0" w:space="0" w:color="auto"/>
        <w:bottom w:val="none" w:sz="0" w:space="0" w:color="auto"/>
        <w:right w:val="none" w:sz="0" w:space="0" w:color="auto"/>
      </w:divBdr>
    </w:div>
    <w:div w:id="1564442484">
      <w:bodyDiv w:val="1"/>
      <w:marLeft w:val="0"/>
      <w:marRight w:val="0"/>
      <w:marTop w:val="0"/>
      <w:marBottom w:val="0"/>
      <w:divBdr>
        <w:top w:val="none" w:sz="0" w:space="0" w:color="auto"/>
        <w:left w:val="none" w:sz="0" w:space="0" w:color="auto"/>
        <w:bottom w:val="none" w:sz="0" w:space="0" w:color="auto"/>
        <w:right w:val="none" w:sz="0" w:space="0" w:color="auto"/>
      </w:divBdr>
    </w:div>
    <w:div w:id="1590767583">
      <w:bodyDiv w:val="1"/>
      <w:marLeft w:val="0"/>
      <w:marRight w:val="0"/>
      <w:marTop w:val="0"/>
      <w:marBottom w:val="0"/>
      <w:divBdr>
        <w:top w:val="none" w:sz="0" w:space="0" w:color="auto"/>
        <w:left w:val="none" w:sz="0" w:space="0" w:color="auto"/>
        <w:bottom w:val="none" w:sz="0" w:space="0" w:color="auto"/>
        <w:right w:val="none" w:sz="0" w:space="0" w:color="auto"/>
      </w:divBdr>
    </w:div>
    <w:div w:id="1596094488">
      <w:bodyDiv w:val="1"/>
      <w:marLeft w:val="0"/>
      <w:marRight w:val="0"/>
      <w:marTop w:val="0"/>
      <w:marBottom w:val="0"/>
      <w:divBdr>
        <w:top w:val="none" w:sz="0" w:space="0" w:color="auto"/>
        <w:left w:val="none" w:sz="0" w:space="0" w:color="auto"/>
        <w:bottom w:val="none" w:sz="0" w:space="0" w:color="auto"/>
        <w:right w:val="none" w:sz="0" w:space="0" w:color="auto"/>
      </w:divBdr>
    </w:div>
    <w:div w:id="1661497966">
      <w:bodyDiv w:val="1"/>
      <w:marLeft w:val="0"/>
      <w:marRight w:val="0"/>
      <w:marTop w:val="0"/>
      <w:marBottom w:val="0"/>
      <w:divBdr>
        <w:top w:val="none" w:sz="0" w:space="0" w:color="auto"/>
        <w:left w:val="none" w:sz="0" w:space="0" w:color="auto"/>
        <w:bottom w:val="none" w:sz="0" w:space="0" w:color="auto"/>
        <w:right w:val="none" w:sz="0" w:space="0" w:color="auto"/>
      </w:divBdr>
    </w:div>
    <w:div w:id="1745032935">
      <w:bodyDiv w:val="1"/>
      <w:marLeft w:val="0"/>
      <w:marRight w:val="0"/>
      <w:marTop w:val="0"/>
      <w:marBottom w:val="0"/>
      <w:divBdr>
        <w:top w:val="none" w:sz="0" w:space="0" w:color="auto"/>
        <w:left w:val="none" w:sz="0" w:space="0" w:color="auto"/>
        <w:bottom w:val="none" w:sz="0" w:space="0" w:color="auto"/>
        <w:right w:val="none" w:sz="0" w:space="0" w:color="auto"/>
      </w:divBdr>
    </w:div>
    <w:div w:id="1953315582">
      <w:bodyDiv w:val="1"/>
      <w:marLeft w:val="0"/>
      <w:marRight w:val="0"/>
      <w:marTop w:val="0"/>
      <w:marBottom w:val="0"/>
      <w:divBdr>
        <w:top w:val="none" w:sz="0" w:space="0" w:color="auto"/>
        <w:left w:val="none" w:sz="0" w:space="0" w:color="auto"/>
        <w:bottom w:val="none" w:sz="0" w:space="0" w:color="auto"/>
        <w:right w:val="none" w:sz="0" w:space="0" w:color="auto"/>
      </w:divBdr>
    </w:div>
    <w:div w:id="2021470242">
      <w:bodyDiv w:val="1"/>
      <w:marLeft w:val="0"/>
      <w:marRight w:val="0"/>
      <w:marTop w:val="0"/>
      <w:marBottom w:val="0"/>
      <w:divBdr>
        <w:top w:val="none" w:sz="0" w:space="0" w:color="auto"/>
        <w:left w:val="none" w:sz="0" w:space="0" w:color="auto"/>
        <w:bottom w:val="none" w:sz="0" w:space="0" w:color="auto"/>
        <w:right w:val="none" w:sz="0" w:space="0" w:color="auto"/>
      </w:divBdr>
    </w:div>
    <w:div w:id="2031176799">
      <w:bodyDiv w:val="1"/>
      <w:marLeft w:val="0"/>
      <w:marRight w:val="0"/>
      <w:marTop w:val="0"/>
      <w:marBottom w:val="0"/>
      <w:divBdr>
        <w:top w:val="none" w:sz="0" w:space="0" w:color="auto"/>
        <w:left w:val="none" w:sz="0" w:space="0" w:color="auto"/>
        <w:bottom w:val="none" w:sz="0" w:space="0" w:color="auto"/>
        <w:right w:val="none" w:sz="0" w:space="0" w:color="auto"/>
      </w:divBdr>
    </w:div>
    <w:div w:id="20576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7042f46e4d2c44bb" /></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gi-bin/text-idx?gp=&amp;SID=b686ff45080d69713c00bf18b651cc37&amp;mc=true&amp;tpl=/ecfrbrowse/Title41/41chapter60.tpl" TargetMode="External"/><Relationship Id="rId2" Type="http://schemas.openxmlformats.org/officeDocument/2006/relationships/hyperlink" Target="https://www.gao.gov/assets/680/679960.pdf" TargetMode="External"/><Relationship Id="rId1" Type="http://schemas.openxmlformats.org/officeDocument/2006/relationships/hyperlink" Target="https://www.dol.gov/ofccp/posters/Infographics/files/JurisdnThresholds-7_ENGESQA508c.pdf" TargetMode="External"/><Relationship Id="rId6" Type="http://schemas.openxmlformats.org/officeDocument/2006/relationships/hyperlink" Target="https://www.bls.gov/news.release/ecec.toc.htm" TargetMode="External"/><Relationship Id="rId5" Type="http://schemas.openxmlformats.org/officeDocument/2006/relationships/hyperlink" Target="https://www.bls.gov/oes/current/oes_nat.htm" TargetMode="External"/><Relationship Id="rId4" Type="http://schemas.openxmlformats.org/officeDocument/2006/relationships/hyperlink" Target="https://www.gpo.gov/fdsys/pkg/PLAW-105publ277/pdf/PLAW-105publ277.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b47662-3777-4dca-a5db-0dbd6ffb9386}"/>
      </w:docPartPr>
      <w:docPartBody>
        <w:p w14:paraId="67D7CB7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B714F89FBC2C4FBBCFB2D40D63FFB8" ma:contentTypeVersion="10" ma:contentTypeDescription="Create a new document." ma:contentTypeScope="" ma:versionID="b9a679566ebfae0f0f6a5ba5ca78ba52">
  <xsd:schema xmlns:xsd="http://www.w3.org/2001/XMLSchema" xmlns:xs="http://www.w3.org/2001/XMLSchema" xmlns:p="http://schemas.microsoft.com/office/2006/metadata/properties" xmlns:ns2="4c4578f9-6c65-44c4-9b40-d576d1746e74" targetNamespace="http://schemas.microsoft.com/office/2006/metadata/properties" ma:root="true" ma:fieldsID="13fe3e7111ba22ac659975864aec75f5" ns2:_="">
    <xsd:import namespace="4c4578f9-6c65-44c4-9b40-d576d1746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78f9-6c65-44c4-9b40-d576d1746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75AA0-E4CF-4176-A044-8880ED44339A}">
  <ds:schemaRefs>
    <ds:schemaRef ds:uri="http://schemas.openxmlformats.org/officeDocument/2006/bibliography"/>
  </ds:schemaRefs>
</ds:datastoreItem>
</file>

<file path=customXml/itemProps2.xml><?xml version="1.0" encoding="utf-8"?>
<ds:datastoreItem xmlns:ds="http://schemas.openxmlformats.org/officeDocument/2006/customXml" ds:itemID="{8A6D47A2-5073-4857-B301-01367ED2DF5E}"/>
</file>

<file path=customXml/itemProps3.xml><?xml version="1.0" encoding="utf-8"?>
<ds:datastoreItem xmlns:ds="http://schemas.openxmlformats.org/officeDocument/2006/customXml" ds:itemID="{14BA15C8-13A1-43D6-BEA8-B1D9F8A20F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AD6EE3-11E5-4224-BE4E-895A72E9BC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Joanna Colosimo</lastModifiedBy>
  <revision>2</revision>
  <dcterms:created xsi:type="dcterms:W3CDTF">2020-09-14T19:19:00.0000000Z</dcterms:created>
  <dcterms:modified xsi:type="dcterms:W3CDTF">2020-09-15T20:12:51.4383436Z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0x010100CAB714F89FBC2C4FBBCFB2D40D63FFB8</vt:lpwstr>
  </property>
</Properties>
</file>